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07C3" w:rsidRDefault="00152077">
      <w:pPr>
        <w:pStyle w:val="Header"/>
        <w:tabs>
          <w:tab w:val="clear" w:pos="8306"/>
          <w:tab w:val="right" w:pos="7088"/>
          <w:tab w:val="right" w:pos="9781"/>
        </w:tabs>
        <w:rPr>
          <w:rFonts w:ascii="Arial" w:hAnsi="Arial" w:cs="Arial"/>
          <w:b/>
          <w:bCs/>
          <w:sz w:val="22"/>
        </w:rPr>
      </w:pPr>
      <w:r>
        <w:rPr>
          <w:rFonts w:ascii="Arial" w:hAnsi="Arial" w:cs="Arial"/>
          <w:b/>
          <w:bCs/>
          <w:sz w:val="22"/>
        </w:rPr>
        <w:t>3GPP TSG-RAN WG2 Meeting #104</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A60040">
        <w:rPr>
          <w:rFonts w:ascii="Arial" w:hAnsi="Arial" w:cs="Arial"/>
          <w:b/>
          <w:bCs/>
          <w:sz w:val="22"/>
        </w:rPr>
        <w:t>R1-18</w:t>
      </w:r>
      <w:r w:rsidR="0050524D">
        <w:rPr>
          <w:rFonts w:ascii="Arial" w:hAnsi="Arial" w:cs="Arial"/>
          <w:b/>
          <w:bCs/>
          <w:sz w:val="22"/>
        </w:rPr>
        <w:t>13708</w:t>
      </w:r>
      <w:bookmarkStart w:id="0" w:name="_GoBack"/>
      <w:bookmarkEnd w:id="0"/>
    </w:p>
    <w:p w:rsidR="004607C3" w:rsidRDefault="004D1F52">
      <w:pPr>
        <w:pStyle w:val="Header"/>
        <w:tabs>
          <w:tab w:val="clear" w:pos="8306"/>
          <w:tab w:val="right" w:pos="9639"/>
        </w:tabs>
        <w:rPr>
          <w:rFonts w:ascii="Arial" w:hAnsi="Arial" w:cs="Arial"/>
          <w:b/>
          <w:bCs/>
          <w:sz w:val="22"/>
        </w:rPr>
      </w:pPr>
      <w:r>
        <w:rPr>
          <w:rFonts w:ascii="Arial" w:hAnsi="Arial" w:cs="Arial"/>
          <w:b/>
          <w:bCs/>
          <w:sz w:val="22"/>
        </w:rPr>
        <w:t xml:space="preserve">Spokane, US, </w:t>
      </w:r>
      <w:r w:rsidR="00C42684">
        <w:rPr>
          <w:rFonts w:ascii="Arial" w:hAnsi="Arial" w:cs="Arial"/>
          <w:b/>
          <w:bCs/>
          <w:sz w:val="22"/>
        </w:rPr>
        <w:t xml:space="preserve">November </w:t>
      </w:r>
      <w:r>
        <w:rPr>
          <w:rFonts w:ascii="Arial" w:hAnsi="Arial" w:cs="Arial"/>
          <w:b/>
          <w:bCs/>
          <w:sz w:val="22"/>
        </w:rPr>
        <w:t>12</w:t>
      </w:r>
      <w:r w:rsidR="00C42684" w:rsidRPr="00C42684">
        <w:rPr>
          <w:rFonts w:ascii="Arial" w:hAnsi="Arial" w:cs="Arial"/>
          <w:b/>
          <w:bCs/>
          <w:sz w:val="22"/>
          <w:vertAlign w:val="superscript"/>
        </w:rPr>
        <w:t>th</w:t>
      </w:r>
      <w:r>
        <w:rPr>
          <w:rFonts w:ascii="Arial" w:hAnsi="Arial" w:cs="Arial"/>
          <w:b/>
          <w:bCs/>
          <w:sz w:val="22"/>
        </w:rPr>
        <w:t xml:space="preserve"> –</w:t>
      </w:r>
      <w:r w:rsidR="00C42684">
        <w:rPr>
          <w:rFonts w:ascii="Arial" w:hAnsi="Arial" w:cs="Arial"/>
          <w:b/>
          <w:bCs/>
          <w:sz w:val="22"/>
        </w:rPr>
        <w:t xml:space="preserve"> 16</w:t>
      </w:r>
      <w:r w:rsidR="00C42684" w:rsidRPr="00C42684">
        <w:rPr>
          <w:rFonts w:ascii="Arial" w:hAnsi="Arial" w:cs="Arial"/>
          <w:b/>
          <w:bCs/>
          <w:sz w:val="22"/>
          <w:vertAlign w:val="superscript"/>
        </w:rPr>
        <w:t>th</w:t>
      </w:r>
      <w:r w:rsidR="00C42684">
        <w:rPr>
          <w:rFonts w:ascii="Arial" w:hAnsi="Arial" w:cs="Arial"/>
          <w:b/>
          <w:bCs/>
          <w:sz w:val="22"/>
        </w:rPr>
        <w:t xml:space="preserve"> </w:t>
      </w:r>
      <w:r>
        <w:rPr>
          <w:rFonts w:ascii="Arial" w:hAnsi="Arial" w:cs="Arial"/>
          <w:b/>
          <w:bCs/>
          <w:sz w:val="22"/>
        </w:rPr>
        <w:t>2018</w:t>
      </w:r>
    </w:p>
    <w:p w:rsidR="004607C3" w:rsidRDefault="004607C3">
      <w:pPr>
        <w:rPr>
          <w:rFonts w:ascii="Arial" w:hAnsi="Arial" w:cs="Arial"/>
        </w:rPr>
      </w:pPr>
    </w:p>
    <w:p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A60040" w:rsidRPr="00A60040">
        <w:rPr>
          <w:rFonts w:ascii="Arial" w:hAnsi="Arial" w:cs="Arial"/>
          <w:b/>
        </w:rPr>
        <w:t>7.2.10.2</w:t>
      </w:r>
    </w:p>
    <w:p w:rsidR="005D20F1" w:rsidRPr="00152077"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152077" w:rsidRPr="00152077">
        <w:rPr>
          <w:rFonts w:ascii="Arial" w:hAnsi="Arial" w:cs="Arial"/>
          <w:b/>
        </w:rPr>
        <w:t xml:space="preserve">Considerations on </w:t>
      </w:r>
      <w:r w:rsidR="003E64EB">
        <w:rPr>
          <w:rFonts w:ascii="Arial" w:hAnsi="Arial" w:cs="Arial"/>
          <w:b/>
        </w:rPr>
        <w:t>RAT-dependent evaluation methodology</w:t>
      </w:r>
    </w:p>
    <w:p w:rsidR="004607C3"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152077" w:rsidRPr="00152077">
        <w:rPr>
          <w:rFonts w:ascii="Arial" w:hAnsi="Arial" w:cs="Arial"/>
          <w:b/>
          <w:bCs/>
        </w:rPr>
        <w:t>ESA</w:t>
      </w:r>
    </w:p>
    <w:p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152077" w:rsidRPr="00152077">
        <w:rPr>
          <w:rFonts w:ascii="Arial" w:hAnsi="Arial" w:cs="Arial"/>
          <w:b/>
          <w:bCs/>
        </w:rPr>
        <w:t>Discussion, Decision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3E64EB">
      <w:pPr>
        <w:numPr>
          <w:ilvl w:val="0"/>
          <w:numId w:val="7"/>
        </w:numPr>
        <w:spacing w:after="120"/>
        <w:rPr>
          <w:rFonts w:ascii="Arial" w:hAnsi="Arial" w:cs="Arial"/>
          <w:b/>
        </w:rPr>
      </w:pPr>
      <w:r>
        <w:rPr>
          <w:rFonts w:ascii="Arial" w:hAnsi="Arial" w:cs="Arial"/>
          <w:b/>
        </w:rPr>
        <w:t>Introduction</w:t>
      </w:r>
    </w:p>
    <w:p w:rsidR="00BF7371" w:rsidRPr="002A21A4" w:rsidRDefault="00261606" w:rsidP="002A21A4">
      <w:pPr>
        <w:pStyle w:val="Header"/>
        <w:spacing w:after="120"/>
        <w:jc w:val="both"/>
      </w:pPr>
      <w:r w:rsidRPr="002A21A4">
        <w:t>The study item on NR positioning, approved in RAN#80</w:t>
      </w:r>
      <w:r w:rsidR="007E07F3" w:rsidRPr="002A21A4">
        <w:t xml:space="preserve"> </w:t>
      </w:r>
      <w:r w:rsidR="007E07F3" w:rsidRPr="002A21A4">
        <w:fldChar w:fldCharType="begin"/>
      </w:r>
      <w:r w:rsidR="007E07F3" w:rsidRPr="002A21A4">
        <w:instrText xml:space="preserve"> REF _Ref528570347 \r \h </w:instrText>
      </w:r>
      <w:r w:rsidR="002A21A4">
        <w:instrText xml:space="preserve"> \* MERGEFORMAT </w:instrText>
      </w:r>
      <w:r w:rsidR="007E07F3" w:rsidRPr="002A21A4">
        <w:fldChar w:fldCharType="separate"/>
      </w:r>
      <w:r w:rsidR="009B6C31">
        <w:t>[1]</w:t>
      </w:r>
      <w:r w:rsidR="007E07F3" w:rsidRPr="002A21A4">
        <w:fldChar w:fldCharType="end"/>
      </w:r>
      <w:r w:rsidRPr="002A21A4">
        <w:t xml:space="preserve"> and revised in RAN#81 </w:t>
      </w:r>
      <w:r w:rsidR="007E07F3" w:rsidRPr="002A21A4">
        <w:fldChar w:fldCharType="begin"/>
      </w:r>
      <w:r w:rsidR="007E07F3" w:rsidRPr="002A21A4">
        <w:instrText xml:space="preserve"> REF _Ref528570358 \r \h </w:instrText>
      </w:r>
      <w:r w:rsidR="002A21A4">
        <w:instrText xml:space="preserve"> \* MERGEFORMAT </w:instrText>
      </w:r>
      <w:r w:rsidR="007E07F3" w:rsidRPr="002A21A4">
        <w:fldChar w:fldCharType="separate"/>
      </w:r>
      <w:r w:rsidR="009B6C31">
        <w:t>[2]</w:t>
      </w:r>
      <w:r w:rsidR="007E07F3" w:rsidRPr="002A21A4">
        <w:fldChar w:fldCharType="end"/>
      </w:r>
      <w:r w:rsidR="007E07F3" w:rsidRPr="002A21A4">
        <w:t xml:space="preserve">, </w:t>
      </w:r>
      <w:r w:rsidR="002A21A4">
        <w:t xml:space="preserve">is aimed at </w:t>
      </w:r>
      <w:r w:rsidR="00BF7371" w:rsidRPr="002A21A4">
        <w:t>evaluat</w:t>
      </w:r>
      <w:r w:rsidR="002A21A4">
        <w:t>ing</w:t>
      </w:r>
      <w:r w:rsidR="007E07F3" w:rsidRPr="002A21A4">
        <w:t xml:space="preserve"> the potential solutions to </w:t>
      </w:r>
      <w:r w:rsidR="009B6C31">
        <w:t>fulfil</w:t>
      </w:r>
      <w:r w:rsidR="007E07F3" w:rsidRPr="002A21A4">
        <w:t xml:space="preserve"> the NR positioning requirements. </w:t>
      </w:r>
      <w:r w:rsidR="00BF7371" w:rsidRPr="002A21A4">
        <w:t xml:space="preserve">NR-based RAT-dependent, RAT-independent and hybrid technologies are studied to </w:t>
      </w:r>
      <w:r w:rsidR="002A21A4">
        <w:t xml:space="preserve">address </w:t>
      </w:r>
      <w:r w:rsidR="00BF7371" w:rsidRPr="002A21A4">
        <w:t>the positioning requirements of regulatory and commercial use cases</w:t>
      </w:r>
      <w:r w:rsidR="002A21A4">
        <w:t xml:space="preserve">, as agreed in RAN#94bis </w:t>
      </w:r>
      <w:r w:rsidR="002A21A4">
        <w:fldChar w:fldCharType="begin"/>
      </w:r>
      <w:r w:rsidR="002A21A4">
        <w:instrText xml:space="preserve"> REF _Ref528590481 \r \h  \* MERGEFORMAT </w:instrText>
      </w:r>
      <w:r w:rsidR="002A21A4">
        <w:fldChar w:fldCharType="separate"/>
      </w:r>
      <w:r w:rsidR="009B6C31">
        <w:t>[3]</w:t>
      </w:r>
      <w:r w:rsidR="002A21A4">
        <w:fldChar w:fldCharType="end"/>
      </w:r>
      <w:r w:rsidR="00BF7371" w:rsidRPr="002A21A4">
        <w:t>:</w:t>
      </w:r>
    </w:p>
    <w:p w:rsidR="002A21A4" w:rsidRDefault="002A21A4" w:rsidP="002A21A4">
      <w:pPr>
        <w:pStyle w:val="Header"/>
        <w:numPr>
          <w:ilvl w:val="0"/>
          <w:numId w:val="25"/>
        </w:numPr>
        <w:tabs>
          <w:tab w:val="clear" w:pos="4153"/>
          <w:tab w:val="clear" w:pos="8306"/>
        </w:tabs>
        <w:spacing w:after="120"/>
        <w:jc w:val="both"/>
        <w:rPr>
          <w:i/>
        </w:rPr>
      </w:pPr>
      <w:r w:rsidRPr="00F32698">
        <w:rPr>
          <w:i/>
        </w:rPr>
        <w:t>Regulatory requirements are considered as a minimum performance targets for NR Positioning studies.</w:t>
      </w:r>
      <w:r w:rsidR="00F32698">
        <w:rPr>
          <w:i/>
        </w:rPr>
        <w:t xml:space="preserve"> [...]</w:t>
      </w:r>
    </w:p>
    <w:p w:rsidR="00F32698" w:rsidRPr="00F32698" w:rsidRDefault="00F32698" w:rsidP="00F32698">
      <w:pPr>
        <w:pStyle w:val="ListParagraph"/>
        <w:numPr>
          <w:ilvl w:val="1"/>
          <w:numId w:val="25"/>
        </w:numPr>
        <w:autoSpaceDE w:val="0"/>
        <w:autoSpaceDN w:val="0"/>
        <w:adjustRightInd w:val="0"/>
        <w:spacing w:after="120" w:line="276" w:lineRule="auto"/>
        <w:ind w:leftChars="0"/>
        <w:contextualSpacing/>
        <w:rPr>
          <w:i/>
        </w:rPr>
      </w:pPr>
      <w:r w:rsidRPr="00F32698">
        <w:rPr>
          <w:i/>
        </w:rPr>
        <w:t>Horizontal positioning error &lt;= 50m for 80% of UEs</w:t>
      </w:r>
    </w:p>
    <w:p w:rsidR="002A21A4" w:rsidRDefault="002A21A4" w:rsidP="002A21A4">
      <w:pPr>
        <w:pStyle w:val="Header"/>
        <w:numPr>
          <w:ilvl w:val="0"/>
          <w:numId w:val="25"/>
        </w:numPr>
        <w:tabs>
          <w:tab w:val="clear" w:pos="4153"/>
          <w:tab w:val="clear" w:pos="8306"/>
        </w:tabs>
        <w:spacing w:after="120"/>
        <w:jc w:val="both"/>
      </w:pPr>
      <w:r w:rsidRPr="00F32698">
        <w:rPr>
          <w:i/>
        </w:rPr>
        <w:t>Additional requirements based on commercial use cases can be used as input performance targets that are subject to further analysis in terms of performance / complexity tradeoffs in different evaluation scenarios</w:t>
      </w:r>
      <w:r w:rsidRPr="002A21A4">
        <w:t>.</w:t>
      </w:r>
      <w:r w:rsidR="00F32698">
        <w:t xml:space="preserve"> </w:t>
      </w:r>
      <w:r w:rsidR="00F32698">
        <w:rPr>
          <w:i/>
        </w:rPr>
        <w:t>[...]</w:t>
      </w:r>
    </w:p>
    <w:p w:rsidR="00F32698" w:rsidRPr="00F32698" w:rsidRDefault="00F32698" w:rsidP="00F32698">
      <w:pPr>
        <w:pStyle w:val="ListParagraph"/>
        <w:numPr>
          <w:ilvl w:val="1"/>
          <w:numId w:val="25"/>
        </w:numPr>
        <w:autoSpaceDE w:val="0"/>
        <w:autoSpaceDN w:val="0"/>
        <w:adjustRightInd w:val="0"/>
        <w:spacing w:after="120" w:line="276" w:lineRule="auto"/>
        <w:ind w:leftChars="0"/>
        <w:contextualSpacing/>
        <w:rPr>
          <w:i/>
        </w:rPr>
      </w:pPr>
      <w:r w:rsidRPr="00F32698">
        <w:rPr>
          <w:i/>
        </w:rPr>
        <w:t>Horizontal positioning error &lt; [3]m for [80]% of UEs in indoor deployment scenarios</w:t>
      </w:r>
    </w:p>
    <w:p w:rsidR="00F32698" w:rsidRPr="00F32698" w:rsidRDefault="00F32698" w:rsidP="00F32698">
      <w:pPr>
        <w:pStyle w:val="ListParagraph"/>
        <w:numPr>
          <w:ilvl w:val="1"/>
          <w:numId w:val="25"/>
        </w:numPr>
        <w:autoSpaceDE w:val="0"/>
        <w:autoSpaceDN w:val="0"/>
        <w:adjustRightInd w:val="0"/>
        <w:spacing w:after="120" w:line="276" w:lineRule="auto"/>
        <w:ind w:leftChars="0"/>
        <w:contextualSpacing/>
        <w:rPr>
          <w:i/>
        </w:rPr>
      </w:pPr>
      <w:r w:rsidRPr="00F32698">
        <w:rPr>
          <w:i/>
        </w:rPr>
        <w:t>Horizontal positioning error &lt; [10]m for [80]% of UEs in outdoor deployments scenarios</w:t>
      </w:r>
    </w:p>
    <w:p w:rsidR="00F32698" w:rsidRPr="00F32698" w:rsidRDefault="00F32698" w:rsidP="00F32698">
      <w:pPr>
        <w:pStyle w:val="ListParagraph"/>
        <w:numPr>
          <w:ilvl w:val="1"/>
          <w:numId w:val="25"/>
        </w:numPr>
        <w:autoSpaceDE w:val="0"/>
        <w:autoSpaceDN w:val="0"/>
        <w:adjustRightInd w:val="0"/>
        <w:spacing w:after="120" w:line="276" w:lineRule="auto"/>
        <w:ind w:leftChars="0"/>
        <w:contextualSpacing/>
        <w:rPr>
          <w:i/>
        </w:rPr>
      </w:pPr>
      <w:r w:rsidRPr="00F32698">
        <w:rPr>
          <w:i/>
        </w:rPr>
        <w:t>Vertical positioning error &lt; [3]m for [80]% of UEs in indoor deployment scenarios</w:t>
      </w:r>
    </w:p>
    <w:p w:rsidR="00F32698" w:rsidRPr="00F32698" w:rsidRDefault="00F32698" w:rsidP="00F32698">
      <w:pPr>
        <w:pStyle w:val="ListParagraph"/>
        <w:numPr>
          <w:ilvl w:val="1"/>
          <w:numId w:val="25"/>
        </w:numPr>
        <w:autoSpaceDE w:val="0"/>
        <w:autoSpaceDN w:val="0"/>
        <w:adjustRightInd w:val="0"/>
        <w:spacing w:after="120" w:line="276" w:lineRule="auto"/>
        <w:ind w:leftChars="0"/>
        <w:contextualSpacing/>
        <w:rPr>
          <w:i/>
        </w:rPr>
      </w:pPr>
      <w:r w:rsidRPr="00F32698">
        <w:rPr>
          <w:i/>
        </w:rPr>
        <w:t>Vertical positioning error &lt; [3]m for [80]% of UEs in outdoor deployment scenarios</w:t>
      </w:r>
    </w:p>
    <w:p w:rsidR="00F32698" w:rsidRPr="00F32698" w:rsidRDefault="00F32698" w:rsidP="00F32698">
      <w:pPr>
        <w:pStyle w:val="ListParagraph"/>
        <w:numPr>
          <w:ilvl w:val="1"/>
          <w:numId w:val="25"/>
        </w:numPr>
        <w:autoSpaceDE w:val="0"/>
        <w:autoSpaceDN w:val="0"/>
        <w:adjustRightInd w:val="0"/>
        <w:spacing w:after="120" w:line="276" w:lineRule="auto"/>
        <w:ind w:leftChars="0"/>
        <w:contextualSpacing/>
        <w:rPr>
          <w:i/>
        </w:rPr>
      </w:pPr>
      <w:r w:rsidRPr="00F32698">
        <w:rPr>
          <w:i/>
        </w:rPr>
        <w:t>End to end latency &lt; [1]s</w:t>
      </w:r>
    </w:p>
    <w:p w:rsidR="00F32698" w:rsidRPr="002A21A4" w:rsidRDefault="00F32698" w:rsidP="00F32698">
      <w:pPr>
        <w:pStyle w:val="Header"/>
        <w:spacing w:after="120"/>
        <w:jc w:val="both"/>
      </w:pPr>
      <w:r>
        <w:t xml:space="preserve">These positioning requirements are assessed for the following evaluation scenarios </w:t>
      </w:r>
      <w:r>
        <w:fldChar w:fldCharType="begin"/>
      </w:r>
      <w:r>
        <w:instrText xml:space="preserve"> REF _Ref528590481 \r \h  \* MERGEFORMAT </w:instrText>
      </w:r>
      <w:r>
        <w:fldChar w:fldCharType="separate"/>
      </w:r>
      <w:r w:rsidR="009B6C31">
        <w:t>[3]</w:t>
      </w:r>
      <w:r>
        <w:fldChar w:fldCharType="end"/>
      </w:r>
      <w:r w:rsidRPr="002A21A4">
        <w:t>:</w:t>
      </w:r>
    </w:p>
    <w:p w:rsidR="002A21A4" w:rsidRPr="00F32698" w:rsidRDefault="002A21A4" w:rsidP="00F32698">
      <w:pPr>
        <w:pStyle w:val="ListParagraph"/>
        <w:numPr>
          <w:ilvl w:val="0"/>
          <w:numId w:val="25"/>
        </w:numPr>
        <w:autoSpaceDE w:val="0"/>
        <w:autoSpaceDN w:val="0"/>
        <w:adjustRightInd w:val="0"/>
        <w:spacing w:after="120" w:line="276" w:lineRule="auto"/>
        <w:ind w:leftChars="0"/>
        <w:contextualSpacing/>
        <w:rPr>
          <w:i/>
        </w:rPr>
      </w:pPr>
      <w:r w:rsidRPr="00F32698">
        <w:rPr>
          <w:i/>
        </w:rPr>
        <w:t>Scenario 1. Indoor Office for FR1 and FR2 (Open office and Mixed Office)</w:t>
      </w:r>
    </w:p>
    <w:p w:rsidR="002A21A4" w:rsidRPr="00F32698" w:rsidRDefault="002A21A4" w:rsidP="00F32698">
      <w:pPr>
        <w:pStyle w:val="ListParagraph"/>
        <w:numPr>
          <w:ilvl w:val="0"/>
          <w:numId w:val="25"/>
        </w:numPr>
        <w:autoSpaceDE w:val="0"/>
        <w:autoSpaceDN w:val="0"/>
        <w:adjustRightInd w:val="0"/>
        <w:spacing w:after="120" w:line="276" w:lineRule="auto"/>
        <w:ind w:leftChars="0"/>
        <w:contextualSpacing/>
        <w:rPr>
          <w:i/>
        </w:rPr>
      </w:pPr>
      <w:r w:rsidRPr="00F32698">
        <w:rPr>
          <w:i/>
        </w:rPr>
        <w:t>Scenario 2. UMi street canyon for FR1 and FR2 (ISD 200m)</w:t>
      </w:r>
    </w:p>
    <w:p w:rsidR="002A21A4" w:rsidRPr="00F32698" w:rsidRDefault="002A21A4" w:rsidP="00F32698">
      <w:pPr>
        <w:pStyle w:val="ListParagraph"/>
        <w:numPr>
          <w:ilvl w:val="0"/>
          <w:numId w:val="25"/>
        </w:numPr>
        <w:autoSpaceDE w:val="0"/>
        <w:autoSpaceDN w:val="0"/>
        <w:adjustRightInd w:val="0"/>
        <w:spacing w:after="120" w:line="276" w:lineRule="auto"/>
        <w:ind w:leftChars="0"/>
        <w:contextualSpacing/>
        <w:rPr>
          <w:i/>
        </w:rPr>
      </w:pPr>
      <w:r w:rsidRPr="00F32698">
        <w:rPr>
          <w:i/>
        </w:rPr>
        <w:t>Scenario 3. UMa (ISD 500m, TBD: ISD &gt; 500m) for FR1 only (Macro cell only deployment scenario)</w:t>
      </w:r>
    </w:p>
    <w:p w:rsidR="00F32698" w:rsidRDefault="00F32698" w:rsidP="009B6C31">
      <w:pPr>
        <w:pStyle w:val="Header"/>
        <w:tabs>
          <w:tab w:val="clear" w:pos="4153"/>
          <w:tab w:val="clear" w:pos="8306"/>
        </w:tabs>
        <w:spacing w:after="120"/>
        <w:jc w:val="both"/>
      </w:pPr>
      <w:r>
        <w:t xml:space="preserve">The evaluation methodology </w:t>
      </w:r>
      <w:r w:rsidR="007C5D77">
        <w:t xml:space="preserve">is </w:t>
      </w:r>
      <w:r w:rsidR="00A1642C">
        <w:t xml:space="preserve">based on these three </w:t>
      </w:r>
      <w:r w:rsidR="009B6C31">
        <w:t>scenario</w:t>
      </w:r>
      <w:r w:rsidR="00A1642C">
        <w:t>s</w:t>
      </w:r>
      <w:r w:rsidR="009B6C31">
        <w:t>,</w:t>
      </w:r>
      <w:r w:rsidR="00A1642C">
        <w:t xml:space="preserve"> by</w:t>
      </w:r>
      <w:r w:rsidR="009B6C31">
        <w:t xml:space="preserve"> taking as a reference TR 38.901 </w:t>
      </w:r>
      <w:r w:rsidR="009B6C31">
        <w:fldChar w:fldCharType="begin"/>
      </w:r>
      <w:r w:rsidR="009B6C31">
        <w:instrText xml:space="preserve"> REF _Ref528592376 \r \h </w:instrText>
      </w:r>
      <w:r w:rsidR="009B6C31">
        <w:fldChar w:fldCharType="separate"/>
      </w:r>
      <w:r w:rsidR="009B6C31">
        <w:t>[4]</w:t>
      </w:r>
      <w:r w:rsidR="009B6C31">
        <w:fldChar w:fldCharType="end"/>
      </w:r>
      <w:r w:rsidR="009B6C31">
        <w:t xml:space="preserve"> and TR 38.802 </w:t>
      </w:r>
      <w:r w:rsidR="009B6C31">
        <w:fldChar w:fldCharType="begin"/>
      </w:r>
      <w:r w:rsidR="009B6C31">
        <w:instrText xml:space="preserve"> REF _Ref528592375 \r \h </w:instrText>
      </w:r>
      <w:r w:rsidR="009B6C31">
        <w:fldChar w:fldCharType="separate"/>
      </w:r>
      <w:r w:rsidR="009B6C31">
        <w:t>[4]</w:t>
      </w:r>
      <w:r w:rsidR="009B6C31">
        <w:fldChar w:fldCharType="end"/>
      </w:r>
      <w:r w:rsidR="009B6C31">
        <w:t xml:space="preserve">  for Scenario 1 and 2, and </w:t>
      </w:r>
      <w:r w:rsidR="007C5D77">
        <w:t xml:space="preserve">TR </w:t>
      </w:r>
      <w:r w:rsidR="007C5D77" w:rsidRPr="007C5D77">
        <w:t xml:space="preserve">37.857 </w:t>
      </w:r>
      <w:r w:rsidR="007C5D77">
        <w:fldChar w:fldCharType="begin"/>
      </w:r>
      <w:r w:rsidR="007C5D77">
        <w:instrText xml:space="preserve"> REF _Ref528592374 \r \h </w:instrText>
      </w:r>
      <w:r w:rsidR="007C5D77">
        <w:fldChar w:fldCharType="separate"/>
      </w:r>
      <w:r w:rsidR="009B6C31">
        <w:t>[6]</w:t>
      </w:r>
      <w:r w:rsidR="007C5D77">
        <w:fldChar w:fldCharType="end"/>
      </w:r>
      <w:r w:rsidR="009B6C31">
        <w:t xml:space="preserve"> for Scenario 3. </w:t>
      </w:r>
      <w:r w:rsidR="0032718B">
        <w:t xml:space="preserve">This methodology ensures the same simulation conditions </w:t>
      </w:r>
      <w:r w:rsidR="00B338BE">
        <w:t xml:space="preserve">for </w:t>
      </w:r>
      <w:r w:rsidR="007C36E8">
        <w:t xml:space="preserve">relative comparisons between </w:t>
      </w:r>
      <w:r w:rsidR="00B338BE">
        <w:t xml:space="preserve">different RAT-dependent technologies. However, the </w:t>
      </w:r>
      <w:r w:rsidR="00B338BE" w:rsidRPr="00B338BE">
        <w:t>results of the</w:t>
      </w:r>
      <w:r w:rsidR="00B338BE">
        <w:t>se</w:t>
      </w:r>
      <w:r w:rsidR="00B338BE" w:rsidRPr="00B338BE">
        <w:t xml:space="preserve"> simulations </w:t>
      </w:r>
      <w:r w:rsidR="00B338BE">
        <w:t>are not intended to be considered as the expected positioning performance of RAT-dependent techniques i</w:t>
      </w:r>
      <w:r w:rsidR="0032718B">
        <w:t>n</w:t>
      </w:r>
      <w:r w:rsidR="00B338BE">
        <w:t xml:space="preserve"> real scenarios.</w:t>
      </w:r>
      <w:r w:rsidR="007C5D77">
        <w:t xml:space="preserve"> </w:t>
      </w:r>
    </w:p>
    <w:p w:rsidR="003E64EB" w:rsidRPr="00AD412C" w:rsidRDefault="009B6C31" w:rsidP="00AD412C">
      <w:pPr>
        <w:pStyle w:val="Header"/>
        <w:tabs>
          <w:tab w:val="clear" w:pos="4153"/>
          <w:tab w:val="clear" w:pos="8306"/>
        </w:tabs>
        <w:spacing w:after="120"/>
        <w:jc w:val="both"/>
      </w:pPr>
      <w:r w:rsidRPr="008C6654">
        <w:t xml:space="preserve">The objective of this document is to </w:t>
      </w:r>
      <w:r w:rsidR="00632A02" w:rsidRPr="008C6654">
        <w:t xml:space="preserve">address the suitability </w:t>
      </w:r>
      <w:r w:rsidR="00146741" w:rsidRPr="008C6654">
        <w:t xml:space="preserve">and representativity </w:t>
      </w:r>
      <w:r w:rsidR="00632A02" w:rsidRPr="008C6654">
        <w:t>of the agreed evaluation methodology</w:t>
      </w:r>
      <w:r w:rsidR="00146741" w:rsidRPr="008C6654">
        <w:t xml:space="preserve">. This methodology </w:t>
      </w:r>
      <w:r w:rsidR="008C6654" w:rsidRPr="008C6654">
        <w:t xml:space="preserve">includes </w:t>
      </w:r>
      <w:r w:rsidR="00146741" w:rsidRPr="008C6654">
        <w:t xml:space="preserve">several </w:t>
      </w:r>
      <w:r w:rsidR="008C6654" w:rsidRPr="008C6654">
        <w:t xml:space="preserve">aspects </w:t>
      </w:r>
      <w:r w:rsidR="00146741" w:rsidRPr="008C6654">
        <w:t xml:space="preserve">that </w:t>
      </w:r>
      <w:r w:rsidR="007907C7" w:rsidRPr="008C6654">
        <w:t xml:space="preserve">may </w:t>
      </w:r>
      <w:r w:rsidR="00146741" w:rsidRPr="008C6654">
        <w:t xml:space="preserve">prevent </w:t>
      </w:r>
      <w:r w:rsidR="007907C7" w:rsidRPr="008C6654">
        <w:t xml:space="preserve">the use of the </w:t>
      </w:r>
      <w:r w:rsidR="00146741" w:rsidRPr="008C6654">
        <w:t xml:space="preserve">simulation results as </w:t>
      </w:r>
      <w:r w:rsidR="007907C7" w:rsidRPr="008C6654">
        <w:t xml:space="preserve">a realistic performance assessment </w:t>
      </w:r>
      <w:r w:rsidR="00BA142A" w:rsidRPr="008C6654">
        <w:t xml:space="preserve">of </w:t>
      </w:r>
      <w:r w:rsidR="008C6654" w:rsidRPr="008C6654">
        <w:t xml:space="preserve">the </w:t>
      </w:r>
      <w:r w:rsidR="00632A02" w:rsidRPr="008C6654">
        <w:t>RAT-dependent technologie</w:t>
      </w:r>
      <w:r w:rsidR="007907C7" w:rsidRPr="008C6654">
        <w:t>s</w:t>
      </w:r>
      <w:r w:rsidR="00632A02" w:rsidRPr="008C6654">
        <w:t xml:space="preserve">. </w:t>
      </w:r>
      <w:r w:rsidR="00146741" w:rsidRPr="008C6654">
        <w:t>This document highlights these</w:t>
      </w:r>
      <w:r w:rsidR="00632A02" w:rsidRPr="008C6654">
        <w:t xml:space="preserve"> considerations</w:t>
      </w:r>
      <w:r w:rsidR="007907C7" w:rsidRPr="008C6654">
        <w:t xml:space="preserve"> and discusses the applicability of the agreed evaluation methodology</w:t>
      </w:r>
      <w:r w:rsidR="00106B73">
        <w:t xml:space="preserve"> in real scenarios</w:t>
      </w:r>
      <w:r w:rsidR="007907C7" w:rsidRPr="008C6654">
        <w:t>.</w:t>
      </w:r>
      <w:r w:rsidR="009D044A">
        <w:t xml:space="preserve"> This is especially relevant for Scenario 3 with UMa-only deployments targeting E911 regulatory requirements.</w:t>
      </w:r>
      <w:r w:rsidR="007907C7" w:rsidRPr="008C6654">
        <w:t xml:space="preserve"> </w:t>
      </w:r>
      <w:r w:rsidR="008C6654" w:rsidRPr="008C6654">
        <w:t xml:space="preserve">This discussion also </w:t>
      </w:r>
      <w:r w:rsidR="0095645F" w:rsidRPr="008C6654">
        <w:t>address</w:t>
      </w:r>
      <w:r w:rsidR="0095645F">
        <w:t>es</w:t>
      </w:r>
      <w:r w:rsidR="008C6654" w:rsidRPr="008C6654">
        <w:t xml:space="preserve"> the applicability of the simulations results in the assessment of RAT-dependent, RAT-independent and hybrid positioning methods.</w:t>
      </w:r>
      <w:r w:rsidR="00632A02" w:rsidRPr="008C6654">
        <w:t xml:space="preserve"> </w:t>
      </w:r>
      <w:r w:rsidRPr="008C6654">
        <w:t xml:space="preserve"> </w:t>
      </w:r>
    </w:p>
    <w:p w:rsidR="005D20F1" w:rsidRDefault="00152077" w:rsidP="00AD412C">
      <w:pPr>
        <w:numPr>
          <w:ilvl w:val="0"/>
          <w:numId w:val="7"/>
        </w:numPr>
        <w:spacing w:after="120"/>
        <w:ind w:left="357" w:hanging="357"/>
        <w:rPr>
          <w:rFonts w:ascii="Arial" w:hAnsi="Arial" w:cs="Arial"/>
          <w:b/>
        </w:rPr>
      </w:pPr>
      <w:r>
        <w:rPr>
          <w:rFonts w:ascii="Arial" w:hAnsi="Arial" w:cs="Arial"/>
          <w:b/>
        </w:rPr>
        <w:t>Discussion</w:t>
      </w:r>
    </w:p>
    <w:p w:rsidR="00BA142A" w:rsidRPr="00BA142A" w:rsidRDefault="00BA142A" w:rsidP="00BA142A">
      <w:pPr>
        <w:pStyle w:val="Header"/>
        <w:tabs>
          <w:tab w:val="clear" w:pos="4153"/>
          <w:tab w:val="clear" w:pos="8306"/>
        </w:tabs>
        <w:spacing w:after="120"/>
        <w:jc w:val="both"/>
      </w:pPr>
      <w:r>
        <w:t xml:space="preserve">This section discusses the </w:t>
      </w:r>
      <w:r w:rsidR="00B62D27">
        <w:t>main considerations</w:t>
      </w:r>
      <w:r>
        <w:t xml:space="preserve"> of the RAT-dependent evaluation methodology</w:t>
      </w:r>
      <w:r w:rsidR="008C6654">
        <w:t xml:space="preserve">, with respect to </w:t>
      </w:r>
      <w:r w:rsidR="00885148">
        <w:t>real deployments</w:t>
      </w:r>
      <w:r w:rsidR="008C6654">
        <w:t xml:space="preserve">. These considerations </w:t>
      </w:r>
      <w:r w:rsidR="00B62D27">
        <w:t xml:space="preserve">are </w:t>
      </w:r>
      <w:r w:rsidR="008C6654">
        <w:t xml:space="preserve">based on the simulation assumptions referring to </w:t>
      </w:r>
      <w:r w:rsidR="00B62D27">
        <w:t xml:space="preserve">the </w:t>
      </w:r>
      <w:r w:rsidR="00587C39">
        <w:t>RAT-dependent positioning</w:t>
      </w:r>
      <w:r w:rsidR="00B62D27">
        <w:t xml:space="preserve"> capabilities, the network deployments and the channel models.</w:t>
      </w:r>
    </w:p>
    <w:p w:rsidR="00152077" w:rsidRPr="00BA142A" w:rsidRDefault="003E64EB" w:rsidP="00AD412C">
      <w:pPr>
        <w:numPr>
          <w:ilvl w:val="1"/>
          <w:numId w:val="7"/>
        </w:numPr>
        <w:spacing w:after="120"/>
        <w:ind w:left="380" w:hanging="380"/>
        <w:rPr>
          <w:rFonts w:ascii="Arial" w:hAnsi="Arial" w:cs="Arial"/>
          <w:b/>
        </w:rPr>
      </w:pPr>
      <w:r w:rsidRPr="00BA142A">
        <w:rPr>
          <w:rFonts w:ascii="Arial" w:hAnsi="Arial" w:cs="Arial"/>
          <w:b/>
        </w:rPr>
        <w:t xml:space="preserve">3GPP </w:t>
      </w:r>
      <w:r w:rsidR="00587C39">
        <w:rPr>
          <w:rFonts w:ascii="Arial" w:hAnsi="Arial" w:cs="Arial"/>
          <w:b/>
        </w:rPr>
        <w:t>RAT-dependent positioning</w:t>
      </w:r>
      <w:r w:rsidRPr="00BA142A">
        <w:rPr>
          <w:rFonts w:ascii="Arial" w:hAnsi="Arial" w:cs="Arial"/>
          <w:b/>
        </w:rPr>
        <w:t xml:space="preserve"> capabilities</w:t>
      </w:r>
    </w:p>
    <w:p w:rsidR="00C80ACB" w:rsidRDefault="0002451D" w:rsidP="00C80ACB">
      <w:pPr>
        <w:spacing w:after="120"/>
        <w:jc w:val="both"/>
      </w:pPr>
      <w:r>
        <w:t>Cellular networks are designed to fulfil communications requirements over urban and rural areas. This large cellular communication infrastructure is then reused for positioning purposes, being positioning</w:t>
      </w:r>
      <w:r w:rsidR="006A34DE">
        <w:t xml:space="preserve"> typically</w:t>
      </w:r>
      <w:r>
        <w:t xml:space="preserve"> considered an optional feature of the cellular network. This limits the positioning capabilities of </w:t>
      </w:r>
      <w:r w:rsidR="006A34DE">
        <w:t>RAT-dependent</w:t>
      </w:r>
      <w:r>
        <w:t xml:space="preserve"> methods, and leads to invest on additional infrastructure, in order to improve the localization capabilities of the network</w:t>
      </w:r>
      <w:r w:rsidR="00C80ACB">
        <w:t xml:space="preserve"> </w:t>
      </w:r>
      <w:r w:rsidR="00C80ACB">
        <w:fldChar w:fldCharType="begin"/>
      </w:r>
      <w:r w:rsidR="00C80ACB">
        <w:instrText xml:space="preserve"> REF _Ref528668262 \r \h </w:instrText>
      </w:r>
      <w:r w:rsidR="00C80ACB">
        <w:fldChar w:fldCharType="separate"/>
      </w:r>
      <w:r w:rsidR="00C80ACB">
        <w:t>[7]</w:t>
      </w:r>
      <w:r w:rsidR="00C80ACB">
        <w:fldChar w:fldCharType="end"/>
      </w:r>
      <w:r>
        <w:t xml:space="preserve">. As an example, the fulfilment of </w:t>
      </w:r>
      <w:r w:rsidR="00C80ACB">
        <w:t>regulatory E911 positioning requirements mandated by FCC</w:t>
      </w:r>
      <w:r>
        <w:t xml:space="preserve"> </w:t>
      </w:r>
      <w:r w:rsidR="00C80ACB">
        <w:t>has led network operators to enhance their infrastructure, e.g. with tight network synchronization, in order to support accurate OTDoA PRS positioning. Thus, the additional infrastructure required in certain positioning methods has limited their deployment and exploitation.</w:t>
      </w:r>
    </w:p>
    <w:p w:rsidR="00EC0AA8" w:rsidRDefault="00C80ACB" w:rsidP="00D672AA">
      <w:pPr>
        <w:spacing w:after="120"/>
        <w:jc w:val="both"/>
        <w:rPr>
          <w:rFonts w:ascii="Times-Roman" w:hAnsi="Times-Roman" w:cs="Times-Roman"/>
          <w:lang w:eastAsia="en-GB"/>
        </w:rPr>
      </w:pPr>
      <w:r>
        <w:t>This trend is expected to change in 5G, because</w:t>
      </w:r>
      <w:r w:rsidR="006A34DE">
        <w:t xml:space="preserve"> </w:t>
      </w:r>
      <w:r>
        <w:t xml:space="preserve">its advanced </w:t>
      </w:r>
      <w:r w:rsidR="00D672AA">
        <w:t>NR</w:t>
      </w:r>
      <w:r>
        <w:t xml:space="preserve"> features can boost the cellular-based positioning capabilities without additional investments. </w:t>
      </w:r>
      <w:r w:rsidR="00EC0AA8">
        <w:rPr>
          <w:rFonts w:ascii="Times-Roman" w:hAnsi="Times-Roman" w:cs="Times-Roman"/>
          <w:lang w:eastAsia="en-GB"/>
        </w:rPr>
        <w:t>The 5G technology is envisaged to provide intrinsic features</w:t>
      </w:r>
      <w:r>
        <w:rPr>
          <w:rFonts w:ascii="Times-Roman" w:hAnsi="Times-Roman" w:cs="Times-Roman"/>
          <w:lang w:eastAsia="en-GB"/>
        </w:rPr>
        <w:t xml:space="preserve"> </w:t>
      </w:r>
      <w:r w:rsidR="00EC0AA8">
        <w:rPr>
          <w:rFonts w:ascii="Times-Roman" w:hAnsi="Times-Roman" w:cs="Times-Roman"/>
          <w:lang w:eastAsia="en-GB"/>
        </w:rPr>
        <w:t>to notably enhance the achievable positioning capabilities</w:t>
      </w:r>
      <w:r>
        <w:rPr>
          <w:rFonts w:ascii="Times-Roman" w:hAnsi="Times-Roman" w:cs="Times-Roman"/>
          <w:lang w:eastAsia="en-GB"/>
        </w:rPr>
        <w:t xml:space="preserve"> </w:t>
      </w:r>
      <w:r w:rsidR="00EC0AA8">
        <w:rPr>
          <w:rFonts w:ascii="Times-Roman" w:hAnsi="Times-Roman" w:cs="Times-Roman"/>
          <w:lang w:eastAsia="en-GB"/>
        </w:rPr>
        <w:t>of future cellular networks</w:t>
      </w:r>
      <w:r>
        <w:rPr>
          <w:rFonts w:ascii="Times-Roman" w:hAnsi="Times-Roman" w:cs="Times-Roman"/>
          <w:lang w:eastAsia="en-GB"/>
        </w:rPr>
        <w:t xml:space="preserve"> </w:t>
      </w:r>
      <w:r>
        <w:rPr>
          <w:rFonts w:ascii="Times-Roman" w:hAnsi="Times-Roman" w:cs="Times-Roman"/>
          <w:lang w:eastAsia="en-GB"/>
        </w:rPr>
        <w:fldChar w:fldCharType="begin"/>
      </w:r>
      <w:r>
        <w:rPr>
          <w:rFonts w:ascii="Times-Roman" w:hAnsi="Times-Roman" w:cs="Times-Roman"/>
          <w:lang w:eastAsia="en-GB"/>
        </w:rPr>
        <w:instrText xml:space="preserve"> REF _Ref528668262 \r \h </w:instrText>
      </w:r>
      <w:r>
        <w:rPr>
          <w:rFonts w:ascii="Times-Roman" w:hAnsi="Times-Roman" w:cs="Times-Roman"/>
          <w:lang w:eastAsia="en-GB"/>
        </w:rPr>
      </w:r>
      <w:r>
        <w:rPr>
          <w:rFonts w:ascii="Times-Roman" w:hAnsi="Times-Roman" w:cs="Times-Roman"/>
          <w:lang w:eastAsia="en-GB"/>
        </w:rPr>
        <w:fldChar w:fldCharType="separate"/>
      </w:r>
      <w:r>
        <w:rPr>
          <w:rFonts w:ascii="Times-Roman" w:hAnsi="Times-Roman" w:cs="Times-Roman"/>
          <w:lang w:eastAsia="en-GB"/>
        </w:rPr>
        <w:t>[7]</w:t>
      </w:r>
      <w:r>
        <w:rPr>
          <w:rFonts w:ascii="Times-Roman" w:hAnsi="Times-Roman" w:cs="Times-Roman"/>
          <w:lang w:eastAsia="en-GB"/>
        </w:rPr>
        <w:fldChar w:fldCharType="end"/>
      </w:r>
      <w:r w:rsidR="00EC0AA8">
        <w:rPr>
          <w:rFonts w:ascii="Times-Roman" w:hAnsi="Times-Roman" w:cs="Times-Roman"/>
          <w:lang w:eastAsia="en-GB"/>
        </w:rPr>
        <w:t xml:space="preserve">, such as ultra-wideband </w:t>
      </w:r>
      <w:r w:rsidR="00D672AA">
        <w:rPr>
          <w:rFonts w:ascii="Times-Roman" w:hAnsi="Times-Roman" w:cs="Times-Roman"/>
          <w:lang w:eastAsia="en-GB"/>
        </w:rPr>
        <w:t xml:space="preserve">dedicated </w:t>
      </w:r>
      <w:r w:rsidR="00EC0AA8">
        <w:rPr>
          <w:rFonts w:ascii="Times-Roman" w:hAnsi="Times-Roman" w:cs="Times-Roman"/>
          <w:lang w:eastAsia="en-GB"/>
        </w:rPr>
        <w:t>signals,</w:t>
      </w:r>
      <w:r>
        <w:rPr>
          <w:rFonts w:ascii="Times-Roman" w:hAnsi="Times-Roman" w:cs="Times-Roman"/>
          <w:lang w:eastAsia="en-GB"/>
        </w:rPr>
        <w:t xml:space="preserve"> </w:t>
      </w:r>
      <w:r w:rsidR="00EC0AA8">
        <w:rPr>
          <w:rFonts w:ascii="Times-Roman" w:hAnsi="Times-Roman" w:cs="Times-Roman"/>
          <w:lang w:eastAsia="en-GB"/>
        </w:rPr>
        <w:t>tight network synchronization, ultra-high density of BSs,</w:t>
      </w:r>
      <w:r>
        <w:rPr>
          <w:rFonts w:ascii="Times-Roman" w:hAnsi="Times-Roman" w:cs="Times-Roman"/>
          <w:lang w:eastAsia="en-GB"/>
        </w:rPr>
        <w:t xml:space="preserve"> </w:t>
      </w:r>
      <w:r w:rsidR="00EC0AA8">
        <w:rPr>
          <w:rFonts w:ascii="Times-Roman" w:hAnsi="Times-Roman" w:cs="Times-Roman"/>
          <w:lang w:eastAsia="en-GB"/>
        </w:rPr>
        <w:t xml:space="preserve">narrow beam transmission, and the tight integration of RAT-independent technologies. </w:t>
      </w:r>
      <w:r w:rsidR="00D672AA">
        <w:rPr>
          <w:rFonts w:ascii="Times-Roman" w:hAnsi="Times-Roman" w:cs="Times-Roman"/>
          <w:lang w:eastAsia="en-GB"/>
        </w:rPr>
        <w:t xml:space="preserve">However, only certain coverage areas are expected to adopt these advanced NR features that enable high-accuracy positioning. In this sense, </w:t>
      </w:r>
      <w:r w:rsidR="007D716C">
        <w:rPr>
          <w:rFonts w:ascii="Times-Roman" w:hAnsi="Times-Roman" w:cs="Times-Roman"/>
          <w:lang w:eastAsia="en-GB"/>
        </w:rPr>
        <w:t xml:space="preserve">two services areas should be </w:t>
      </w:r>
      <w:r w:rsidR="007A62DB">
        <w:rPr>
          <w:rFonts w:ascii="Times-Roman" w:hAnsi="Times-Roman" w:cs="Times-Roman"/>
          <w:lang w:eastAsia="en-GB"/>
        </w:rPr>
        <w:t>distinguished</w:t>
      </w:r>
      <w:r w:rsidR="007D716C">
        <w:rPr>
          <w:rFonts w:ascii="Times-Roman" w:hAnsi="Times-Roman" w:cs="Times-Roman"/>
          <w:lang w:eastAsia="en-GB"/>
        </w:rPr>
        <w:t xml:space="preserve"> as proposed in</w:t>
      </w:r>
      <w:r w:rsidR="006A34DE">
        <w:rPr>
          <w:rFonts w:ascii="Times-Roman" w:hAnsi="Times-Roman" w:cs="Times-Roman"/>
          <w:lang w:eastAsia="en-GB"/>
        </w:rPr>
        <w:t xml:space="preserve"> </w:t>
      </w:r>
      <w:r w:rsidR="006A34DE">
        <w:rPr>
          <w:rFonts w:ascii="Times-Roman" w:hAnsi="Times-Roman" w:cs="Times-Roman"/>
          <w:lang w:eastAsia="en-GB"/>
        </w:rPr>
        <w:fldChar w:fldCharType="begin"/>
      </w:r>
      <w:r w:rsidR="006A34DE">
        <w:rPr>
          <w:rFonts w:ascii="Times-Roman" w:hAnsi="Times-Roman" w:cs="Times-Roman"/>
          <w:lang w:eastAsia="en-GB"/>
        </w:rPr>
        <w:instrText xml:space="preserve"> REF _Ref528736726 \r \h </w:instrText>
      </w:r>
      <w:r w:rsidR="006A34DE">
        <w:rPr>
          <w:rFonts w:ascii="Times-Roman" w:hAnsi="Times-Roman" w:cs="Times-Roman"/>
          <w:lang w:eastAsia="en-GB"/>
        </w:rPr>
      </w:r>
      <w:r w:rsidR="006A34DE">
        <w:rPr>
          <w:rFonts w:ascii="Times-Roman" w:hAnsi="Times-Roman" w:cs="Times-Roman"/>
          <w:lang w:eastAsia="en-GB"/>
        </w:rPr>
        <w:fldChar w:fldCharType="separate"/>
      </w:r>
      <w:r w:rsidR="006A34DE">
        <w:rPr>
          <w:rFonts w:ascii="Times-Roman" w:hAnsi="Times-Roman" w:cs="Times-Roman"/>
          <w:lang w:eastAsia="en-GB"/>
        </w:rPr>
        <w:t>[8]</w:t>
      </w:r>
      <w:r w:rsidR="006A34DE">
        <w:rPr>
          <w:rFonts w:ascii="Times-Roman" w:hAnsi="Times-Roman" w:cs="Times-Roman"/>
          <w:lang w:eastAsia="en-GB"/>
        </w:rPr>
        <w:fldChar w:fldCharType="end"/>
      </w:r>
      <w:r w:rsidR="007D716C">
        <w:rPr>
          <w:rFonts w:ascii="Times-Roman" w:hAnsi="Times-Roman" w:cs="Times-Roman"/>
          <w:lang w:eastAsia="en-GB"/>
        </w:rPr>
        <w:t xml:space="preserve">: </w:t>
      </w:r>
    </w:p>
    <w:p w:rsidR="007D716C" w:rsidRPr="007D716C" w:rsidRDefault="007D716C" w:rsidP="007D716C">
      <w:pPr>
        <w:numPr>
          <w:ilvl w:val="0"/>
          <w:numId w:val="28"/>
        </w:numPr>
        <w:spacing w:after="120"/>
        <w:jc w:val="both"/>
        <w:rPr>
          <w:rFonts w:ascii="Times-Roman" w:hAnsi="Times-Roman" w:cs="Times-Roman"/>
          <w:i/>
          <w:lang w:eastAsia="en-GB"/>
        </w:rPr>
      </w:pPr>
      <w:r w:rsidRPr="007D716C">
        <w:rPr>
          <w:rFonts w:ascii="Times-Roman" w:hAnsi="Times-Roman" w:cs="Times-Roman"/>
          <w:b/>
          <w:i/>
          <w:lang w:eastAsia="en-GB"/>
        </w:rPr>
        <w:lastRenderedPageBreak/>
        <w:t>5G positioning service area</w:t>
      </w:r>
      <w:r w:rsidRPr="007D716C">
        <w:rPr>
          <w:rFonts w:ascii="Times-Roman" w:hAnsi="Times-Roman" w:cs="Times-Roman"/>
          <w:i/>
          <w:lang w:eastAsia="en-GB"/>
        </w:rPr>
        <w:t>: a service area where positioning services would solely rely on infrastructure and positioning technologies that can be assumed to be present anywhere, where 5G is present (e.g. a country-wide operator-supplied 5G network, GNSS, position/motion sensors). This includes both indoor and any outdoor environments.</w:t>
      </w:r>
    </w:p>
    <w:p w:rsidR="007D716C" w:rsidRPr="007D716C" w:rsidRDefault="007D716C" w:rsidP="007D716C">
      <w:pPr>
        <w:numPr>
          <w:ilvl w:val="0"/>
          <w:numId w:val="28"/>
        </w:numPr>
        <w:spacing w:after="120"/>
        <w:jc w:val="both"/>
        <w:rPr>
          <w:rFonts w:ascii="Times-Roman" w:hAnsi="Times-Roman" w:cs="Times-Roman"/>
          <w:i/>
          <w:lang w:eastAsia="en-GB"/>
        </w:rPr>
      </w:pPr>
      <w:r w:rsidRPr="007D716C">
        <w:rPr>
          <w:rFonts w:ascii="Times-Roman" w:hAnsi="Times-Roman" w:cs="Times-Roman"/>
          <w:b/>
          <w:i/>
          <w:lang w:eastAsia="en-GB"/>
        </w:rPr>
        <w:t>5G enhanced positioning service area</w:t>
      </w:r>
      <w:r w:rsidRPr="007D716C">
        <w:rPr>
          <w:rFonts w:ascii="Times-Roman" w:hAnsi="Times-Roman" w:cs="Times-Roman"/>
          <w:i/>
          <w:lang w:eastAsia="en-GB"/>
        </w:rPr>
        <w:t>: a subset of the 5G positioning service area that is assumed to be provided with additional infrastructure or a particular set of positioning technologies to enhance positioning services. The enhanced positioning service area represents, for example, a factory plant, a dense urban area, an area along a road or railway track, a tunnel and covers both indoor and outdoor environments.</w:t>
      </w:r>
    </w:p>
    <w:p w:rsidR="007A62DB" w:rsidRDefault="007A62DB" w:rsidP="00BB18DA">
      <w:pPr>
        <w:spacing w:after="120"/>
        <w:jc w:val="both"/>
      </w:pPr>
      <w:r>
        <w:t>The communications-driven deployments over 5G positioning service areas are expected to only fulfil regulatory requirements, while optimized deployments over 5G enhanced positioning service are expected to fulfil both regulatory and additional requirements based on commercial use cases. However, these service areas are not yet distinguished in the evaluation methodology, and this result</w:t>
      </w:r>
      <w:r w:rsidR="00857A79">
        <w:t>s</w:t>
      </w:r>
      <w:r>
        <w:t xml:space="preserve"> in</w:t>
      </w:r>
      <w:r w:rsidR="00C2484D">
        <w:t xml:space="preserve"> a</w:t>
      </w:r>
      <w:r>
        <w:t xml:space="preserve"> huge impact on the positioning performance. </w:t>
      </w:r>
      <w:r w:rsidR="00857A79">
        <w:t xml:space="preserve">This affects main </w:t>
      </w:r>
      <w:r w:rsidR="009C66AA">
        <w:t xml:space="preserve">positioning aspects on the evaluation of </w:t>
      </w:r>
      <w:r w:rsidR="00857A79">
        <w:t>RAT-dependent positioning techniques:</w:t>
      </w:r>
    </w:p>
    <w:p w:rsidR="002F79D8" w:rsidRDefault="002F79D8" w:rsidP="00BB18DA">
      <w:pPr>
        <w:numPr>
          <w:ilvl w:val="0"/>
          <w:numId w:val="26"/>
        </w:numPr>
        <w:spacing w:after="120"/>
        <w:jc w:val="both"/>
      </w:pPr>
      <w:r w:rsidRPr="00857A79">
        <w:rPr>
          <w:b/>
        </w:rPr>
        <w:t>Synchronization</w:t>
      </w:r>
      <w:r>
        <w:t>:</w:t>
      </w:r>
      <w:r w:rsidR="00857A79">
        <w:t xml:space="preserve"> </w:t>
      </w:r>
      <w:r w:rsidR="00E64E81">
        <w:t xml:space="preserve">the network synchronization assumption in </w:t>
      </w:r>
      <w:r w:rsidR="00E64E81">
        <w:fldChar w:fldCharType="begin"/>
      </w:r>
      <w:r w:rsidR="00E64E81">
        <w:instrText xml:space="preserve"> REF _Ref528590481 \r \h  \* MERGEFORMAT </w:instrText>
      </w:r>
      <w:r w:rsidR="00E64E81">
        <w:fldChar w:fldCharType="separate"/>
      </w:r>
      <w:r w:rsidR="00E64E81">
        <w:t>[3]</w:t>
      </w:r>
      <w:r w:rsidR="00E64E81">
        <w:fldChar w:fldCharType="end"/>
      </w:r>
      <w:r w:rsidR="00E64E81">
        <w:t xml:space="preserve"> is</w:t>
      </w:r>
      <w:r w:rsidR="001512CF">
        <w:t xml:space="preserve"> based on</w:t>
      </w:r>
      <w:r w:rsidR="00E64E81">
        <w:t xml:space="preserve"> either a </w:t>
      </w:r>
      <w:r w:rsidR="00857A79">
        <w:t xml:space="preserve">perfect synchronization </w:t>
      </w:r>
      <w:r w:rsidR="00E64E81">
        <w:t xml:space="preserve">or a synchronization error, which follows a truncated Gaussian distribution with 50 ns of standard deviation and a range of timing errors between -100 ns and 100 ns. </w:t>
      </w:r>
      <w:r w:rsidR="001512CF">
        <w:t xml:space="preserve">Thus, this </w:t>
      </w:r>
      <w:r w:rsidR="00470C72">
        <w:t>assumption is</w:t>
      </w:r>
      <w:r w:rsidR="001512CF">
        <w:t xml:space="preserve"> either </w:t>
      </w:r>
      <w:r w:rsidR="00470C72">
        <w:t xml:space="preserve">based on </w:t>
      </w:r>
      <w:r w:rsidR="001512CF">
        <w:t xml:space="preserve">the best-case scenario, or </w:t>
      </w:r>
      <w:r w:rsidR="00470C72">
        <w:t xml:space="preserve">on </w:t>
      </w:r>
      <w:r w:rsidR="001512CF">
        <w:t>a scenario with synchronized gNBs up to</w:t>
      </w:r>
      <w:r w:rsidR="00A82F5E">
        <w:t xml:space="preserve"> an accuracy of ± 100 ns</w:t>
      </w:r>
      <w:r w:rsidR="001512CF">
        <w:t xml:space="preserve">. However, </w:t>
      </w:r>
      <w:r w:rsidR="009D044A">
        <w:t xml:space="preserve">the 5G standard does not specify a synchronization requirement for positioning that needs to be fulfilled by network operators. Thus, </w:t>
      </w:r>
      <w:r w:rsidR="00F719B1">
        <w:t xml:space="preserve">conventional </w:t>
      </w:r>
      <w:r w:rsidR="009D044A">
        <w:t xml:space="preserve">or nominal </w:t>
      </w:r>
      <w:r w:rsidR="00F719B1">
        <w:t>networks are expected to have higher synchronization errors</w:t>
      </w:r>
      <w:r w:rsidR="00A82F5E">
        <w:t xml:space="preserve"> than ± 100 ns, </w:t>
      </w:r>
      <w:r w:rsidR="00F719B1">
        <w:t xml:space="preserve">which results in a significant degradation of the positioning performance. </w:t>
      </w:r>
      <w:r w:rsidR="009D044A">
        <w:t>As a result, t</w:t>
      </w:r>
      <w:r w:rsidR="00A82F5E">
        <w:t>h</w:t>
      </w:r>
      <w:r w:rsidR="00470C72">
        <w:t xml:space="preserve">is synchronization assumption </w:t>
      </w:r>
      <w:r w:rsidR="00A5349A">
        <w:t>is</w:t>
      </w:r>
      <w:r w:rsidR="00470C72">
        <w:t xml:space="preserve"> considered representative of </w:t>
      </w:r>
      <w:r w:rsidR="00F719B1">
        <w:t>optimized networks</w:t>
      </w:r>
      <w:r w:rsidR="009D044A">
        <w:t xml:space="preserve">, because they are expected to add the necessary synchronization infrastructure for positioning, such as </w:t>
      </w:r>
      <w:r w:rsidR="006D1177">
        <w:t xml:space="preserve">by using </w:t>
      </w:r>
      <w:r w:rsidR="009D044A">
        <w:t>GNSS-based synchronization procedures</w:t>
      </w:r>
      <w:r w:rsidR="00F719B1">
        <w:t>.</w:t>
      </w:r>
      <w:r w:rsidR="001512CF">
        <w:t xml:space="preserve"> </w:t>
      </w:r>
    </w:p>
    <w:p w:rsidR="00F719B1" w:rsidRDefault="002F79D8" w:rsidP="00BB18DA">
      <w:pPr>
        <w:numPr>
          <w:ilvl w:val="0"/>
          <w:numId w:val="26"/>
        </w:numPr>
        <w:spacing w:after="120"/>
        <w:jc w:val="both"/>
      </w:pPr>
      <w:r w:rsidRPr="00857A79">
        <w:rPr>
          <w:b/>
        </w:rPr>
        <w:t>System bandwidth</w:t>
      </w:r>
      <w:r>
        <w:t>:</w:t>
      </w:r>
      <w:r w:rsidR="00857A79">
        <w:t xml:space="preserve"> </w:t>
      </w:r>
      <w:r w:rsidR="00147FDB">
        <w:t xml:space="preserve">the system bandwidth determines the achievable accuracy of ranging-based techniques. In </w:t>
      </w:r>
      <w:r w:rsidR="00147FDB">
        <w:fldChar w:fldCharType="begin"/>
      </w:r>
      <w:r w:rsidR="00147FDB">
        <w:instrText xml:space="preserve"> REF _Ref528590481 \r \h  \* MERGEFORMAT </w:instrText>
      </w:r>
      <w:r w:rsidR="00147FDB">
        <w:fldChar w:fldCharType="separate"/>
      </w:r>
      <w:r w:rsidR="00147FDB">
        <w:t>[3]</w:t>
      </w:r>
      <w:r w:rsidR="00147FDB">
        <w:fldChar w:fldCharType="end"/>
      </w:r>
      <w:r w:rsidR="00147FDB">
        <w:t xml:space="preserve">, </w:t>
      </w:r>
      <w:r w:rsidR="00690EF4">
        <w:t xml:space="preserve">the evaluation scenarios </w:t>
      </w:r>
      <w:r w:rsidR="00F719B1">
        <w:t xml:space="preserve">consider a narrow bandwidth, i.e., 5 MHz for FR1, and wide bandwidths, i.e., 50 and 100 MHz for FR1 and 100 and 400 MHz for FR2. The </w:t>
      </w:r>
      <w:r w:rsidR="00BB18DA">
        <w:t xml:space="preserve">wideband signals are expected to enable high-accuracy positioning, while the narrowband configuration is expected to only meet regulatory requirements, as it </w:t>
      </w:r>
      <w:r w:rsidR="009D044A">
        <w:t xml:space="preserve">is </w:t>
      </w:r>
      <w:r w:rsidR="00BB18DA">
        <w:t xml:space="preserve">assumed from the results in </w:t>
      </w:r>
      <w:r w:rsidR="00BB18DA">
        <w:fldChar w:fldCharType="begin"/>
      </w:r>
      <w:r w:rsidR="00BB18DA">
        <w:instrText xml:space="preserve"> REF _Ref528592374 \r \h  \* MERGEFORMAT </w:instrText>
      </w:r>
      <w:r w:rsidR="00BB18DA">
        <w:fldChar w:fldCharType="separate"/>
      </w:r>
      <w:r w:rsidR="00BB18DA">
        <w:t>[6]</w:t>
      </w:r>
      <w:r w:rsidR="00BB18DA">
        <w:fldChar w:fldCharType="end"/>
      </w:r>
      <w:r w:rsidR="00BB18DA">
        <w:t xml:space="preserve">. Thus, </w:t>
      </w:r>
      <w:r w:rsidR="00A5349A">
        <w:t xml:space="preserve">in terms of system bandwidth, </w:t>
      </w:r>
      <w:r w:rsidR="00BB18DA">
        <w:t xml:space="preserve">the evaluation methodology considers </w:t>
      </w:r>
      <w:r w:rsidR="00A5349A">
        <w:t xml:space="preserve">both </w:t>
      </w:r>
      <w:r w:rsidR="00BB18DA">
        <w:t>conventional and optimized networks.</w:t>
      </w:r>
    </w:p>
    <w:p w:rsidR="00857A79" w:rsidRDefault="00857A79" w:rsidP="00BB18DA">
      <w:pPr>
        <w:numPr>
          <w:ilvl w:val="0"/>
          <w:numId w:val="26"/>
        </w:numPr>
        <w:spacing w:after="120"/>
        <w:jc w:val="both"/>
      </w:pPr>
      <w:r w:rsidRPr="00857A79">
        <w:rPr>
          <w:b/>
        </w:rPr>
        <w:t>Antenna array</w:t>
      </w:r>
      <w:r>
        <w:t xml:space="preserve">: </w:t>
      </w:r>
      <w:r w:rsidR="00FF162E">
        <w:t xml:space="preserve">the </w:t>
      </w:r>
      <w:r>
        <w:t xml:space="preserve">number of antenna elements and </w:t>
      </w:r>
      <w:r w:rsidR="00FF162E">
        <w:t xml:space="preserve">the </w:t>
      </w:r>
      <w:r>
        <w:t>orientation</w:t>
      </w:r>
      <w:r w:rsidR="00FF162E">
        <w:t xml:space="preserve"> of the antenna array determine the positioning accuracy of angle-based techniques. In </w:t>
      </w:r>
      <w:r w:rsidR="00FF162E">
        <w:fldChar w:fldCharType="begin"/>
      </w:r>
      <w:r w:rsidR="00FF162E">
        <w:instrText xml:space="preserve"> REF _Ref528590481 \r \h  \* MERGEFORMAT </w:instrText>
      </w:r>
      <w:r w:rsidR="00FF162E">
        <w:fldChar w:fldCharType="separate"/>
      </w:r>
      <w:r w:rsidR="00FF162E">
        <w:t>[3]</w:t>
      </w:r>
      <w:r w:rsidR="00FF162E">
        <w:fldChar w:fldCharType="end"/>
      </w:r>
      <w:r w:rsidR="00FF162E">
        <w:t xml:space="preserve">, the antenna configuration is assumed to have between 16 and 64 antenna elements depending on the </w:t>
      </w:r>
      <w:r w:rsidR="00A61E16">
        <w:t xml:space="preserve">frequency range and the scenario, which can lead to high-accuracy positioning with </w:t>
      </w:r>
      <w:r w:rsidR="00690EF4">
        <w:t>angle-based techniques.</w:t>
      </w:r>
      <w:r w:rsidR="00930592">
        <w:t xml:space="preserve"> The orientation of the antenna array is defined by the 3-sector antenna configuration (except the indoor office FR1 scenario with single sector), </w:t>
      </w:r>
      <w:r w:rsidR="00CE584E">
        <w:t xml:space="preserve">which ensures an absolute orientation angle between UE and gNB between 0 and 60º. </w:t>
      </w:r>
      <w:r w:rsidR="005B4656">
        <w:t>In real deployment</w:t>
      </w:r>
      <w:r w:rsidR="0015166D">
        <w:t>s</w:t>
      </w:r>
      <w:r w:rsidR="005B4656">
        <w:t xml:space="preserve">, the orientation angle of the antenna array is expected to be different, since it is expected to be optimized for communication purposes. </w:t>
      </w:r>
      <w:r w:rsidR="00690EF4">
        <w:t>Thus, this evaluation methodology considers a favourable configuration for angle-based positioning.</w:t>
      </w:r>
    </w:p>
    <w:p w:rsidR="002F79D8" w:rsidRDefault="002F79D8" w:rsidP="00BB18DA">
      <w:pPr>
        <w:numPr>
          <w:ilvl w:val="0"/>
          <w:numId w:val="26"/>
        </w:numPr>
        <w:spacing w:after="120"/>
        <w:jc w:val="both"/>
      </w:pPr>
      <w:r w:rsidRPr="00857A79">
        <w:rPr>
          <w:b/>
        </w:rPr>
        <w:t xml:space="preserve">Positioning </w:t>
      </w:r>
      <w:r w:rsidR="0018529F">
        <w:rPr>
          <w:b/>
        </w:rPr>
        <w:t xml:space="preserve">reference </w:t>
      </w:r>
      <w:r w:rsidRPr="00857A79">
        <w:rPr>
          <w:b/>
        </w:rPr>
        <w:t>signals</w:t>
      </w:r>
      <w:r>
        <w:t>:</w:t>
      </w:r>
      <w:r w:rsidR="00857A79">
        <w:t xml:space="preserve"> </w:t>
      </w:r>
      <w:r w:rsidR="00690EF4">
        <w:t xml:space="preserve">the RAT-dependent techniques are expected to be evaluated using the NR positioning reference signal (PRS), which still needs to be defined. The PRS is </w:t>
      </w:r>
      <w:r w:rsidR="00A5349A">
        <w:t xml:space="preserve">mainly </w:t>
      </w:r>
      <w:r w:rsidR="00690EF4">
        <w:t xml:space="preserve">used to </w:t>
      </w:r>
      <w:r w:rsidR="00A5349A">
        <w:t>support accurate ranging measurements with reduced</w:t>
      </w:r>
      <w:r w:rsidR="00690EF4">
        <w:t xml:space="preserve"> interference between transmitters, in order to achieve the best positioning performance. Thus, this evaluation methodology considers optimized networks </w:t>
      </w:r>
      <w:r w:rsidR="0018529F">
        <w:t>with enabled PRS transmissions</w:t>
      </w:r>
      <w:r w:rsidR="00690EF4">
        <w:t>.</w:t>
      </w:r>
    </w:p>
    <w:p w:rsidR="002F79D8" w:rsidRDefault="002F79D8" w:rsidP="00BB18DA">
      <w:pPr>
        <w:numPr>
          <w:ilvl w:val="0"/>
          <w:numId w:val="26"/>
        </w:numPr>
        <w:spacing w:after="120"/>
        <w:jc w:val="both"/>
      </w:pPr>
      <w:r w:rsidRPr="00857A79">
        <w:rPr>
          <w:b/>
        </w:rPr>
        <w:t>Dedicated deployments</w:t>
      </w:r>
      <w:r>
        <w:t>:</w:t>
      </w:r>
      <w:r w:rsidR="00857A79">
        <w:t xml:space="preserve"> </w:t>
      </w:r>
      <w:r w:rsidR="00B87CE5">
        <w:t xml:space="preserve">the network layout defined in </w:t>
      </w:r>
      <w:r w:rsidR="00B87CE5">
        <w:fldChar w:fldCharType="begin"/>
      </w:r>
      <w:r w:rsidR="00B87CE5">
        <w:instrText xml:space="preserve"> REF _Ref528590481 \r \h  \* MERGEFORMAT </w:instrText>
      </w:r>
      <w:r w:rsidR="00B87CE5">
        <w:fldChar w:fldCharType="separate"/>
      </w:r>
      <w:r w:rsidR="00B87CE5">
        <w:t>[3]</w:t>
      </w:r>
      <w:r w:rsidR="00B87CE5">
        <w:fldChar w:fldCharType="end"/>
      </w:r>
      <w:r w:rsidR="00B87CE5">
        <w:t xml:space="preserve"> is based on a deterministic deployment for the indoor office scenario, and on a hexagonal grid of gNBs for the </w:t>
      </w:r>
      <w:r w:rsidR="00B87CE5" w:rsidRPr="00B87CE5">
        <w:t xml:space="preserve">UMi </w:t>
      </w:r>
      <w:r w:rsidR="00B87CE5">
        <w:t>s</w:t>
      </w:r>
      <w:r w:rsidR="00B87CE5" w:rsidRPr="00B87CE5">
        <w:t xml:space="preserve">treet </w:t>
      </w:r>
      <w:r w:rsidR="00B87CE5">
        <w:t>c</w:t>
      </w:r>
      <w:r w:rsidR="00B87CE5" w:rsidRPr="00B87CE5">
        <w:t xml:space="preserve">anyon </w:t>
      </w:r>
      <w:r w:rsidR="00B87CE5">
        <w:t>and UMa s</w:t>
      </w:r>
      <w:r w:rsidR="00B87CE5" w:rsidRPr="00B87CE5">
        <w:t>cenario</w:t>
      </w:r>
      <w:r w:rsidR="00B87CE5">
        <w:t>s. The inter-site distance (ISD) between gNBs is defined to 20, 200 and 500 m for the indoor, UMi and UMa scenarios, respectively. Thus, the indoor and UMi layout can be considered equivalent to dedicated deployments, which are expected to achieve high-accuracy positioning, while the UMa layout can be considered a conventional deployment, which is only expected to achieve regulatory requirements.</w:t>
      </w:r>
      <w:r w:rsidR="005B4656">
        <w:t xml:space="preserve"> Real network deployments, either conventional or </w:t>
      </w:r>
      <w:r w:rsidR="00142E07">
        <w:t>dedicated</w:t>
      </w:r>
      <w:r w:rsidR="005B4656">
        <w:t xml:space="preserve">, are expected to follow a non-uniform layout that adapts to the </w:t>
      </w:r>
      <w:r w:rsidR="00142E07">
        <w:t>user density and topography of a certain area.</w:t>
      </w:r>
      <w:r w:rsidR="005B4656">
        <w:t xml:space="preserve"> </w:t>
      </w:r>
    </w:p>
    <w:p w:rsidR="00BE4C30" w:rsidRDefault="00724226" w:rsidP="00724226">
      <w:pPr>
        <w:spacing w:after="120"/>
        <w:jc w:val="both"/>
      </w:pPr>
      <w:r>
        <w:t xml:space="preserve">The </w:t>
      </w:r>
      <w:r w:rsidR="005968C1">
        <w:t xml:space="preserve">RAT-dependent </w:t>
      </w:r>
      <w:r>
        <w:t xml:space="preserve">evaluation methodology covers </w:t>
      </w:r>
      <w:r w:rsidR="00A5349A">
        <w:t xml:space="preserve">aspects of both </w:t>
      </w:r>
      <w:r>
        <w:t>conventional and optimized networks.</w:t>
      </w:r>
      <w:r w:rsidR="00A5349A">
        <w:t xml:space="preserve"> However, there is a predominance of assumptions </w:t>
      </w:r>
      <w:r w:rsidR="00BE4C30">
        <w:t xml:space="preserve">that can be considered </w:t>
      </w:r>
      <w:r w:rsidR="00A5349A">
        <w:t xml:space="preserve">representative of optimized networks. </w:t>
      </w:r>
      <w:r w:rsidR="00BE4C30">
        <w:t xml:space="preserve">This leads to </w:t>
      </w:r>
      <w:r w:rsidR="00A5349A">
        <w:t xml:space="preserve">optimistic performance results of </w:t>
      </w:r>
      <w:r w:rsidR="005968C1">
        <w:t xml:space="preserve">the </w:t>
      </w:r>
      <w:r w:rsidR="00A5349A">
        <w:t>RAT-dependent</w:t>
      </w:r>
      <w:r w:rsidR="005968C1">
        <w:t xml:space="preserve"> methods </w:t>
      </w:r>
      <w:r w:rsidR="00BE4C30">
        <w:t xml:space="preserve">if these assumptions </w:t>
      </w:r>
      <w:r w:rsidR="007F2F6E">
        <w:t>are</w:t>
      </w:r>
      <w:r w:rsidR="00BE4C30">
        <w:t xml:space="preserve"> not fulfilled</w:t>
      </w:r>
      <w:r w:rsidR="00142E07">
        <w:t xml:space="preserve"> in real scenarios</w:t>
      </w:r>
      <w:r w:rsidR="00BE4C30">
        <w:t>.</w:t>
      </w:r>
      <w:r w:rsidR="007748CF">
        <w:t xml:space="preserve"> </w:t>
      </w:r>
      <w:r w:rsidR="002F52CA">
        <w:t>That is, RAT-dependent techniques may achieve positioning requirements with optimized networks, but the same methods may not achieve these requirements with conventional or non-optimized networks.</w:t>
      </w:r>
      <w:r w:rsidR="007748CF">
        <w:t xml:space="preserve"> Indeed, this is critical point on the standardization of positioning mechanisms, in order to fulfil E911 regulatory requirements with UMa-only deployments.</w:t>
      </w:r>
    </w:p>
    <w:p w:rsidR="00724226" w:rsidRDefault="00BE4C30" w:rsidP="00724226">
      <w:pPr>
        <w:spacing w:after="120"/>
        <w:jc w:val="both"/>
        <w:rPr>
          <w:b/>
        </w:rPr>
      </w:pPr>
      <w:r w:rsidRPr="00BE4C30">
        <w:rPr>
          <w:b/>
        </w:rPr>
        <w:t>Observation 1:</w:t>
      </w:r>
      <w:r w:rsidR="007F2F6E">
        <w:rPr>
          <w:b/>
        </w:rPr>
        <w:t xml:space="preserve"> </w:t>
      </w:r>
      <w:r w:rsidR="000478BA">
        <w:rPr>
          <w:b/>
        </w:rPr>
        <w:t>RAT-dependent evaluation methodology</w:t>
      </w:r>
      <w:r w:rsidR="00F23B49">
        <w:rPr>
          <w:b/>
        </w:rPr>
        <w:t xml:space="preserve"> provides optimistic performance results if the network is not optimized for positioning.</w:t>
      </w:r>
    </w:p>
    <w:p w:rsidR="009140D2" w:rsidRDefault="00F23B49" w:rsidP="00451F31">
      <w:pPr>
        <w:spacing w:after="120"/>
        <w:jc w:val="both"/>
        <w:rPr>
          <w:b/>
        </w:rPr>
      </w:pPr>
      <w:r>
        <w:rPr>
          <w:b/>
        </w:rPr>
        <w:t xml:space="preserve">Proposal 1: </w:t>
      </w:r>
      <w:r w:rsidR="009140D2">
        <w:rPr>
          <w:b/>
        </w:rPr>
        <w:t xml:space="preserve">The evaluation scenarios should distinguish between conventional and optimized networks, in order to assess the expected performance of </w:t>
      </w:r>
      <w:r>
        <w:rPr>
          <w:b/>
        </w:rPr>
        <w:t xml:space="preserve">RAT-dependent </w:t>
      </w:r>
      <w:r w:rsidR="009140D2">
        <w:rPr>
          <w:b/>
        </w:rPr>
        <w:t xml:space="preserve">positioning </w:t>
      </w:r>
      <w:r>
        <w:rPr>
          <w:b/>
        </w:rPr>
        <w:t>technologies</w:t>
      </w:r>
      <w:r w:rsidR="009140D2">
        <w:rPr>
          <w:b/>
        </w:rPr>
        <w:t xml:space="preserve"> in real scenarios.</w:t>
      </w:r>
      <w:r w:rsidR="007748CF">
        <w:rPr>
          <w:b/>
        </w:rPr>
        <w:t xml:space="preserve"> This should be </w:t>
      </w:r>
      <w:r w:rsidR="00E401B9">
        <w:rPr>
          <w:b/>
        </w:rPr>
        <w:t>e</w:t>
      </w:r>
      <w:r w:rsidR="007748CF">
        <w:rPr>
          <w:b/>
        </w:rPr>
        <w:t xml:space="preserve">specially considered to fulfil E911 regulatory requirements with </w:t>
      </w:r>
      <w:r w:rsidR="007748CF" w:rsidRPr="007748CF">
        <w:rPr>
          <w:b/>
        </w:rPr>
        <w:t>UMa-only deployments</w:t>
      </w:r>
      <w:r w:rsidR="007748CF">
        <w:rPr>
          <w:b/>
        </w:rPr>
        <w:t>.</w:t>
      </w:r>
    </w:p>
    <w:p w:rsidR="002F52CA" w:rsidRDefault="002F52CA" w:rsidP="00451F31">
      <w:pPr>
        <w:spacing w:after="120"/>
        <w:jc w:val="both"/>
        <w:rPr>
          <w:b/>
        </w:rPr>
      </w:pPr>
      <w:r w:rsidRPr="00BE4C30">
        <w:rPr>
          <w:b/>
        </w:rPr>
        <w:lastRenderedPageBreak/>
        <w:t xml:space="preserve">Observation </w:t>
      </w:r>
      <w:r>
        <w:rPr>
          <w:b/>
        </w:rPr>
        <w:t>2</w:t>
      </w:r>
      <w:r w:rsidRPr="00BE4C30">
        <w:rPr>
          <w:b/>
        </w:rPr>
        <w:t>:</w:t>
      </w:r>
      <w:r>
        <w:rPr>
          <w:b/>
        </w:rPr>
        <w:t xml:space="preserve"> Non-optimized networks may not achieve </w:t>
      </w:r>
      <w:r w:rsidR="005F442D" w:rsidRPr="00451F31">
        <w:rPr>
          <w:b/>
        </w:rPr>
        <w:t xml:space="preserve">regulatory and commercial </w:t>
      </w:r>
      <w:r>
        <w:rPr>
          <w:b/>
        </w:rPr>
        <w:t>positioning requirements with RAT-dependent techniques in real scenarios.</w:t>
      </w:r>
    </w:p>
    <w:p w:rsidR="00451F31" w:rsidRDefault="00A60040" w:rsidP="00451F31">
      <w:pPr>
        <w:spacing w:after="120"/>
        <w:jc w:val="both"/>
        <w:rPr>
          <w:b/>
        </w:rPr>
      </w:pPr>
      <w:r>
        <w:rPr>
          <w:b/>
        </w:rPr>
        <w:t>Observation 3</w:t>
      </w:r>
      <w:r w:rsidR="009140D2">
        <w:rPr>
          <w:b/>
        </w:rPr>
        <w:t xml:space="preserve">: RAT-dependent </w:t>
      </w:r>
      <w:r w:rsidR="002F52CA">
        <w:rPr>
          <w:b/>
        </w:rPr>
        <w:t>positioning techniques</w:t>
      </w:r>
      <w:r w:rsidR="00F23B49">
        <w:rPr>
          <w:b/>
        </w:rPr>
        <w:t xml:space="preserve"> should be complemented with RAT-independent and hybrid positioning </w:t>
      </w:r>
      <w:r w:rsidR="002F52CA">
        <w:rPr>
          <w:b/>
        </w:rPr>
        <w:t>techniques</w:t>
      </w:r>
      <w:r w:rsidR="00451F31">
        <w:rPr>
          <w:b/>
        </w:rPr>
        <w:t>,</w:t>
      </w:r>
      <w:r w:rsidR="00451F31" w:rsidRPr="00451F31">
        <w:t xml:space="preserve"> </w:t>
      </w:r>
      <w:r w:rsidR="009140D2">
        <w:rPr>
          <w:b/>
        </w:rPr>
        <w:t>in order</w:t>
      </w:r>
      <w:r w:rsidR="00451F31" w:rsidRPr="00451F31">
        <w:rPr>
          <w:b/>
        </w:rPr>
        <w:t xml:space="preserve"> to ensure fulfilment of regulatory and commercial positioning requirements.</w:t>
      </w:r>
    </w:p>
    <w:p w:rsidR="005D20F1" w:rsidRPr="00451F31" w:rsidRDefault="003E64EB" w:rsidP="00AD412C">
      <w:pPr>
        <w:numPr>
          <w:ilvl w:val="1"/>
          <w:numId w:val="7"/>
        </w:numPr>
        <w:spacing w:after="120"/>
        <w:ind w:left="431" w:hanging="431"/>
        <w:rPr>
          <w:rFonts w:ascii="Arial" w:hAnsi="Arial" w:cs="Arial"/>
          <w:b/>
        </w:rPr>
      </w:pPr>
      <w:r w:rsidRPr="00451F31">
        <w:rPr>
          <w:rFonts w:ascii="Arial" w:hAnsi="Arial" w:cs="Arial"/>
          <w:b/>
        </w:rPr>
        <w:t xml:space="preserve">3GPP </w:t>
      </w:r>
      <w:r w:rsidR="00930592">
        <w:rPr>
          <w:rFonts w:ascii="Arial" w:hAnsi="Arial" w:cs="Arial"/>
          <w:b/>
        </w:rPr>
        <w:t>UE drop procedure</w:t>
      </w:r>
    </w:p>
    <w:p w:rsidR="009140D2" w:rsidRDefault="009140D2" w:rsidP="005D31DB">
      <w:pPr>
        <w:spacing w:after="120"/>
        <w:jc w:val="both"/>
      </w:pPr>
      <w:r>
        <w:t>The RAT-dependent evaluation methodo</w:t>
      </w:r>
      <w:r w:rsidR="00CE584E">
        <w:t xml:space="preserve">logy agreed in </w:t>
      </w:r>
      <w:r w:rsidR="00CE584E">
        <w:fldChar w:fldCharType="begin"/>
      </w:r>
      <w:r w:rsidR="00CE584E">
        <w:instrText xml:space="preserve"> REF _Ref528590481 \r \h  \* MERGEFORMAT </w:instrText>
      </w:r>
      <w:r w:rsidR="00CE584E">
        <w:fldChar w:fldCharType="separate"/>
      </w:r>
      <w:r w:rsidR="00CE584E">
        <w:t>[3]</w:t>
      </w:r>
      <w:r w:rsidR="00CE584E">
        <w:fldChar w:fldCharType="end"/>
      </w:r>
      <w:r w:rsidR="00CE584E">
        <w:t xml:space="preserve"> defines the UE drop procedure to be “</w:t>
      </w:r>
      <w:r w:rsidR="00CE584E" w:rsidRPr="009721B9">
        <w:t>uniformly distributed over the horizontal area</w:t>
      </w:r>
      <w:r w:rsidR="00CE584E">
        <w:t xml:space="preserve">”, and </w:t>
      </w:r>
      <w:r w:rsidR="00142E07">
        <w:t xml:space="preserve">to be </w:t>
      </w:r>
      <w:r w:rsidR="00CE584E">
        <w:t xml:space="preserve">either 100% indoor for the indoor office scenario, 100% outdoor for the UMi street canyon scenario, </w:t>
      </w:r>
      <w:r w:rsidR="00181463">
        <w:t>or</w:t>
      </w:r>
      <w:r w:rsidR="00CE584E">
        <w:t xml:space="preserve"> 50% outdoor and 50% indoor for the UMa scenario. However, the horizontal area for evaluation is </w:t>
      </w:r>
      <w:r w:rsidR="00D80724">
        <w:t>only</w:t>
      </w:r>
      <w:r w:rsidR="00CE584E">
        <w:t xml:space="preserve"> clearly </w:t>
      </w:r>
      <w:r w:rsidR="00D80724">
        <w:t xml:space="preserve">bounded for the indoor office scenario, because UEs are dropped in an indoor floor of </w:t>
      </w:r>
      <w:r w:rsidR="00D80724" w:rsidRPr="009721B9">
        <w:t>120m x 50m</w:t>
      </w:r>
      <w:r w:rsidR="00181463">
        <w:t xml:space="preserve">. </w:t>
      </w:r>
      <w:r w:rsidR="0067040A">
        <w:t>T</w:t>
      </w:r>
      <w:r w:rsidR="00D80724">
        <w:t>he definition of the evaluation area</w:t>
      </w:r>
      <w:r w:rsidR="00CE584E">
        <w:t xml:space="preserve"> has an important impact on the achievable</w:t>
      </w:r>
      <w:r w:rsidR="00181463">
        <w:t xml:space="preserve"> positioning performance, because the RAT-dependent positioning capabilities are (in general) much more degraded at the edges of the network deployment than at its center.</w:t>
      </w:r>
    </w:p>
    <w:p w:rsidR="004554CD" w:rsidRDefault="0067040A" w:rsidP="00181463">
      <w:pPr>
        <w:jc w:val="both"/>
      </w:pPr>
      <w:r>
        <w:t>The impact of the evaluation area can be analysed with t</w:t>
      </w:r>
      <w:r w:rsidR="00181463">
        <w:t>he horizontal dilution of precision (HDOP)</w:t>
      </w:r>
      <w:r>
        <w:t>. This</w:t>
      </w:r>
      <w:r w:rsidR="00181463">
        <w:t xml:space="preserve"> is a metric to </w:t>
      </w:r>
      <w:r>
        <w:t>assess</w:t>
      </w:r>
      <w:r w:rsidR="00181463">
        <w:t xml:space="preserve"> the precision of the positioning solution in the hor</w:t>
      </w:r>
      <w:r w:rsidR="003C0D61">
        <w:t>iz</w:t>
      </w:r>
      <w:r w:rsidR="00181463">
        <w:t>ontal plane depending on the geometry of the problem</w:t>
      </w:r>
      <w:r w:rsidR="004554CD">
        <w:t>,</w:t>
      </w:r>
      <w:r w:rsidR="004554CD" w:rsidRPr="004554CD">
        <w:t xml:space="preserve"> </w:t>
      </w:r>
      <w:r w:rsidR="004554CD">
        <w:t>which is defined by the location of the UE and gNBs. Assuming the TDoA technique and equal variance</w:t>
      </w:r>
      <w:r w:rsidR="00E82683">
        <w:t>s</w:t>
      </w:r>
      <w:r w:rsidR="004554CD">
        <w:t xml:space="preserve"> between measurements</w:t>
      </w:r>
      <w:r>
        <w:t xml:space="preserve"> from </w:t>
      </w:r>
      <m:oMath>
        <m:sSub>
          <m:sSubPr>
            <m:ctrlPr>
              <w:rPr>
                <w:rFonts w:ascii="Cambria Math" w:hAnsi="Cambria Math"/>
              </w:rPr>
            </m:ctrlPr>
          </m:sSubPr>
          <m:e>
            <m:r>
              <w:rPr>
                <w:rFonts w:ascii="Cambria Math" w:hAnsi="Cambria Math"/>
              </w:rPr>
              <m:t>N</m:t>
            </m:r>
          </m:e>
          <m:sub>
            <m:r>
              <m:rPr>
                <m:sty m:val="p"/>
              </m:rPr>
              <w:rPr>
                <w:rFonts w:ascii="Cambria Math" w:hAnsi="Cambria Math"/>
              </w:rPr>
              <m:t>gNB</m:t>
            </m:r>
          </m:sub>
        </m:sSub>
      </m:oMath>
      <w:r>
        <w:t xml:space="preserve"> gNBs</w:t>
      </w:r>
      <w:r w:rsidR="004554CD">
        <w:t>, the HDOP is defined as</w:t>
      </w: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9"/>
        <w:gridCol w:w="515"/>
      </w:tblGrid>
      <w:tr w:rsidR="004554CD" w:rsidRPr="00136029" w:rsidTr="005D31DB">
        <w:trPr>
          <w:trHeight w:val="567"/>
        </w:trPr>
        <w:tc>
          <w:tcPr>
            <w:tcW w:w="4737" w:type="pct"/>
            <w:vAlign w:val="center"/>
          </w:tcPr>
          <w:p w:rsidR="004554CD" w:rsidRPr="00662582" w:rsidRDefault="00581D7B" w:rsidP="00E82683">
            <m:oMathPara>
              <m:oMath>
                <m:r>
                  <m:rPr>
                    <m:sty m:val="p"/>
                  </m:rPr>
                  <w:rPr>
                    <w:rFonts w:ascii="Cambria Math" w:hAnsi="Cambria Math"/>
                  </w:rPr>
                  <m:t>HDOP</m:t>
                </m:r>
                <m:r>
                  <w:rPr>
                    <w:rFonts w:ascii="Cambria Math" w:hAnsi="Cambria Math"/>
                  </w:rPr>
                  <m:t>=</m:t>
                </m:r>
                <m:rad>
                  <m:radPr>
                    <m:degHide m:val="1"/>
                    <m:ctrlPr>
                      <w:rPr>
                        <w:rFonts w:ascii="Cambria Math" w:hAnsi="Cambria Math"/>
                      </w:rPr>
                    </m:ctrlPr>
                  </m:radPr>
                  <m:deg/>
                  <m:e>
                    <m:r>
                      <m:rPr>
                        <m:sty m:val="p"/>
                      </m:rPr>
                      <w:rPr>
                        <w:rFonts w:ascii="Cambria Math" w:hAnsi="Cambria Math"/>
                      </w:rPr>
                      <m:t>Tr</m:t>
                    </m:r>
                    <m:d>
                      <m:dPr>
                        <m:begChr m:val="{"/>
                        <m:endChr m:val="}"/>
                        <m:ctrlPr>
                          <w:rPr>
                            <w:rFonts w:ascii="Cambria Math" w:hAnsi="Cambria Math"/>
                            <w:i/>
                          </w:rPr>
                        </m:ctrlPr>
                      </m:dPr>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sty m:val="b"/>
                                      </m:rPr>
                                      <w:rPr>
                                        <w:rFonts w:ascii="Cambria Math" w:hAnsi="Cambria Math"/>
                                      </w:rPr>
                                      <m:t>H</m:t>
                                    </m:r>
                                  </m:e>
                                  <m:sup>
                                    <m:r>
                                      <w:rPr>
                                        <w:rFonts w:ascii="Cambria Math" w:hAnsi="Cambria Math"/>
                                      </w:rPr>
                                      <m:t>T</m:t>
                                    </m:r>
                                  </m:sup>
                                </m:sSup>
                                <m:r>
                                  <w:rPr>
                                    <w:rFonts w:ascii="Cambria Math" w:hAnsi="Cambria Math"/>
                                  </w:rPr>
                                  <m:t>·</m:t>
                                </m:r>
                                <m:r>
                                  <m:rPr>
                                    <m:sty m:val="b"/>
                                  </m:rPr>
                                  <w:rPr>
                                    <w:rFonts w:ascii="Cambria Math" w:hAnsi="Cambria Math"/>
                                  </w:rPr>
                                  <m:t>H</m:t>
                                </m:r>
                              </m:e>
                            </m:d>
                          </m:e>
                          <m:sup>
                            <m:r>
                              <w:rPr>
                                <w:rFonts w:ascii="Cambria Math" w:hAnsi="Cambria Math"/>
                              </w:rPr>
                              <m:t>-1</m:t>
                            </m:r>
                          </m:sup>
                        </m:sSup>
                      </m:e>
                    </m:d>
                  </m:e>
                </m:rad>
                <m:r>
                  <w:rPr>
                    <w:rFonts w:ascii="Cambria Math" w:hAnsi="Cambria Math"/>
                  </w:rPr>
                  <m:t>,</m:t>
                </m:r>
              </m:oMath>
            </m:oMathPara>
          </w:p>
        </w:tc>
        <w:tc>
          <w:tcPr>
            <w:tcW w:w="263" w:type="pct"/>
            <w:vAlign w:val="center"/>
          </w:tcPr>
          <w:p w:rsidR="004554CD" w:rsidRPr="00662582" w:rsidRDefault="004554CD" w:rsidP="004554CD">
            <w:pPr>
              <w:pStyle w:val="UOCnormal"/>
              <w:keepNext/>
              <w:jc w:val="right"/>
              <w:rPr>
                <w:rFonts w:ascii="Times New Roman" w:eastAsia="Times New Roman" w:hAnsi="Times New Roman"/>
                <w:color w:val="auto"/>
                <w:sz w:val="20"/>
                <w:szCs w:val="20"/>
                <w:lang w:val="en-GB"/>
              </w:rPr>
            </w:pPr>
            <w:r w:rsidRPr="00662582">
              <w:rPr>
                <w:rFonts w:ascii="Times New Roman" w:eastAsia="Times New Roman" w:hAnsi="Times New Roman"/>
                <w:color w:val="auto"/>
                <w:sz w:val="20"/>
                <w:szCs w:val="20"/>
                <w:lang w:val="en-GB"/>
              </w:rPr>
              <w:t>(</w:t>
            </w:r>
            <w:r w:rsidRPr="00662582">
              <w:rPr>
                <w:rFonts w:ascii="Times New Roman" w:eastAsia="Times New Roman" w:hAnsi="Times New Roman"/>
                <w:color w:val="auto"/>
                <w:sz w:val="20"/>
                <w:szCs w:val="20"/>
                <w:lang w:val="en-GB"/>
              </w:rPr>
              <w:fldChar w:fldCharType="begin"/>
            </w:r>
            <w:r w:rsidRPr="00662582">
              <w:rPr>
                <w:rFonts w:ascii="Times New Roman" w:eastAsia="Times New Roman" w:hAnsi="Times New Roman"/>
                <w:color w:val="auto"/>
                <w:sz w:val="20"/>
                <w:szCs w:val="20"/>
                <w:lang w:val="en-GB"/>
              </w:rPr>
              <w:instrText xml:space="preserve"> SEQ Ecuación \* ARABIC </w:instrText>
            </w:r>
            <w:r w:rsidRPr="00662582">
              <w:rPr>
                <w:rFonts w:ascii="Times New Roman" w:eastAsia="Times New Roman" w:hAnsi="Times New Roman"/>
                <w:color w:val="auto"/>
                <w:sz w:val="20"/>
                <w:szCs w:val="20"/>
                <w:lang w:val="en-GB"/>
              </w:rPr>
              <w:fldChar w:fldCharType="separate"/>
            </w:r>
            <w:r w:rsidRPr="00662582">
              <w:rPr>
                <w:rFonts w:ascii="Times New Roman" w:eastAsia="Times New Roman" w:hAnsi="Times New Roman"/>
                <w:color w:val="auto"/>
                <w:sz w:val="20"/>
                <w:szCs w:val="20"/>
                <w:lang w:val="en-GB"/>
              </w:rPr>
              <w:t>1</w:t>
            </w:r>
            <w:r w:rsidRPr="00662582">
              <w:rPr>
                <w:rFonts w:ascii="Times New Roman" w:eastAsia="Times New Roman" w:hAnsi="Times New Roman"/>
                <w:color w:val="auto"/>
                <w:sz w:val="20"/>
                <w:szCs w:val="20"/>
                <w:lang w:val="en-GB"/>
              </w:rPr>
              <w:fldChar w:fldCharType="end"/>
            </w:r>
            <w:r w:rsidRPr="00662582">
              <w:rPr>
                <w:rFonts w:ascii="Times New Roman" w:eastAsia="Times New Roman" w:hAnsi="Times New Roman"/>
                <w:color w:val="auto"/>
                <w:sz w:val="20"/>
                <w:szCs w:val="20"/>
                <w:lang w:val="en-GB"/>
              </w:rPr>
              <w:t>)</w:t>
            </w:r>
          </w:p>
        </w:tc>
      </w:tr>
    </w:tbl>
    <w:p w:rsidR="004554CD" w:rsidRPr="00581D7B" w:rsidRDefault="00581D7B" w:rsidP="00181463">
      <w:pPr>
        <w:jc w:val="both"/>
      </w:pPr>
      <w:r>
        <w:t xml:space="preserve">where </w:t>
      </w:r>
      <m:oMath>
        <m:r>
          <m:rPr>
            <m:sty m:val="b"/>
          </m:rPr>
          <w:rPr>
            <w:rFonts w:ascii="Cambria Math" w:hAnsi="Cambria Math"/>
          </w:rPr>
          <m:t>H</m:t>
        </m:r>
      </m:oMath>
      <w:r>
        <w:t xml:space="preserve"> is the</w:t>
      </w:r>
      <w:r w:rsidRPr="00581D7B">
        <w:t xml:space="preserve"> </w:t>
      </w:r>
      <m:oMath>
        <m:d>
          <m:dPr>
            <m:ctrlPr>
              <w:rPr>
                <w:rFonts w:ascii="Cambria Math" w:hAnsi="Cambria Math"/>
                <w:i/>
              </w:rPr>
            </m:ctrlPr>
          </m:dPr>
          <m:e>
            <m:sSub>
              <m:sSubPr>
                <m:ctrlPr>
                  <w:rPr>
                    <w:rFonts w:ascii="Cambria Math" w:hAnsi="Cambria Math"/>
                  </w:rPr>
                </m:ctrlPr>
              </m:sSubPr>
              <m:e>
                <m:r>
                  <w:rPr>
                    <w:rFonts w:ascii="Cambria Math" w:hAnsi="Cambria Math"/>
                  </w:rPr>
                  <m:t>N</m:t>
                </m:r>
              </m:e>
              <m:sub>
                <m:r>
                  <m:rPr>
                    <m:sty m:val="p"/>
                  </m:rPr>
                  <w:rPr>
                    <w:rFonts w:ascii="Cambria Math" w:hAnsi="Cambria Math"/>
                  </w:rPr>
                  <m:t>gNB</m:t>
                </m:r>
              </m:sub>
            </m:sSub>
            <m:r>
              <w:rPr>
                <w:rFonts w:ascii="Cambria Math" w:hAnsi="Cambria Math"/>
              </w:rPr>
              <m:t>-1</m:t>
            </m:r>
          </m:e>
        </m:d>
        <m:r>
          <w:rPr>
            <w:rFonts w:ascii="Cambria Math" w:hAnsi="Cambria Math"/>
          </w:rPr>
          <m:t>×2</m:t>
        </m:r>
      </m:oMath>
      <w:r>
        <w:t xml:space="preserve"> geometry matrix, which is defined for the </w:t>
      </w:r>
      <w:r w:rsidRPr="00E82683">
        <w:rPr>
          <w:i/>
        </w:rPr>
        <w:t>m</w:t>
      </w:r>
      <w:r>
        <w:t>-th gNB as</w:t>
      </w: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9"/>
        <w:gridCol w:w="515"/>
      </w:tblGrid>
      <w:tr w:rsidR="00E82683" w:rsidRPr="00136029" w:rsidTr="005D31DB">
        <w:trPr>
          <w:trHeight w:val="718"/>
        </w:trPr>
        <w:tc>
          <w:tcPr>
            <w:tcW w:w="4737" w:type="pct"/>
            <w:vAlign w:val="center"/>
          </w:tcPr>
          <w:p w:rsidR="00E82683" w:rsidRPr="00662582" w:rsidRDefault="006C296E" w:rsidP="00E82683">
            <m:oMathPara>
              <m:oMath>
                <m:sSub>
                  <m:sSubPr>
                    <m:ctrlPr>
                      <w:rPr>
                        <w:rFonts w:ascii="Cambria Math" w:hAnsi="Cambria Math"/>
                        <w:i/>
                      </w:rPr>
                    </m:ctrlPr>
                  </m:sSubPr>
                  <m:e>
                    <m:d>
                      <m:dPr>
                        <m:begChr m:val="["/>
                        <m:endChr m:val="]"/>
                        <m:ctrlPr>
                          <w:rPr>
                            <w:rFonts w:ascii="Cambria Math" w:hAnsi="Cambria Math"/>
                            <w:b/>
                          </w:rPr>
                        </m:ctrlPr>
                      </m:dPr>
                      <m:e>
                        <m:r>
                          <m:rPr>
                            <m:sty m:val="b"/>
                          </m:rPr>
                          <w:rPr>
                            <w:rFonts w:ascii="Cambria Math" w:hAnsi="Cambria Math"/>
                          </w:rPr>
                          <m:t>H</m:t>
                        </m:r>
                      </m:e>
                    </m:d>
                  </m:e>
                  <m:sub>
                    <m:r>
                      <w:rPr>
                        <w:rFonts w:ascii="Cambria Math" w:hAnsi="Cambria Math"/>
                      </w:rPr>
                      <m:t>m,1:2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1</m:t>
                            </m:r>
                          </m:sub>
                        </m:sSub>
                      </m:num>
                      <m:den>
                        <m:sSub>
                          <m:sSubPr>
                            <m:ctrlPr>
                              <w:rPr>
                                <w:rFonts w:ascii="Cambria Math" w:hAnsi="Cambria Math"/>
                                <w:i/>
                              </w:rPr>
                            </m:ctrlPr>
                          </m:sSubPr>
                          <m:e>
                            <m:r>
                              <w:rPr>
                                <w:rFonts w:ascii="Cambria Math" w:hAnsi="Cambria Math"/>
                              </w:rPr>
                              <m:t>d</m:t>
                            </m:r>
                          </m:e>
                          <m:sub>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m</m:t>
                            </m:r>
                          </m:sub>
                        </m:sSub>
                      </m:num>
                      <m:den>
                        <m:sSub>
                          <m:sSubPr>
                            <m:ctrlPr>
                              <w:rPr>
                                <w:rFonts w:ascii="Cambria Math" w:hAnsi="Cambria Math"/>
                                <w:i/>
                              </w:rPr>
                            </m:ctrlPr>
                          </m:sSubPr>
                          <m:e>
                            <m:r>
                              <w:rPr>
                                <w:rFonts w:ascii="Cambria Math" w:hAnsi="Cambria Math"/>
                              </w:rPr>
                              <m:t>d</m:t>
                            </m:r>
                          </m:e>
                          <m:sub>
                            <m:r>
                              <w:rPr>
                                <w:rFonts w:ascii="Cambria Math" w:hAnsi="Cambria Math"/>
                              </w:rPr>
                              <m:t>m</m:t>
                            </m:r>
                          </m:sub>
                        </m:sSub>
                      </m:den>
                    </m:f>
                    <m:r>
                      <w:rPr>
                        <w:rFonts w:ascii="Cambria Math" w:hAnsi="Cambria Math"/>
                      </w:rPr>
                      <m:t xml:space="preserve">, </m:t>
                    </m:r>
                    <m:f>
                      <m:fPr>
                        <m:ctrlPr>
                          <w:rPr>
                            <w:rFonts w:ascii="Cambria Math" w:hAnsi="Cambria Math"/>
                            <w:i/>
                          </w:rPr>
                        </m:ctrlPr>
                      </m:fPr>
                      <m:num>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num>
                      <m:den>
                        <m:sSub>
                          <m:sSubPr>
                            <m:ctrlPr>
                              <w:rPr>
                                <w:rFonts w:ascii="Cambria Math" w:hAnsi="Cambria Math"/>
                                <w:i/>
                              </w:rPr>
                            </m:ctrlPr>
                          </m:sSubPr>
                          <m:e>
                            <m:r>
                              <w:rPr>
                                <w:rFonts w:ascii="Cambria Math" w:hAnsi="Cambria Math"/>
                              </w:rPr>
                              <m:t>d</m:t>
                            </m:r>
                          </m:e>
                          <m:sub>
                            <m:r>
                              <w:rPr>
                                <w:rFonts w:ascii="Cambria Math" w:hAnsi="Cambria Math"/>
                              </w:rPr>
                              <m:t>1</m:t>
                            </m:r>
                          </m:sub>
                        </m:sSub>
                      </m:den>
                    </m:f>
                    <m:r>
                      <w:rPr>
                        <w:rFonts w:ascii="Cambria Math" w:hAnsi="Cambria Math"/>
                      </w:rPr>
                      <m:t>-</m:t>
                    </m:r>
                    <m:f>
                      <m:fPr>
                        <m:ctrlPr>
                          <w:rPr>
                            <w:rFonts w:ascii="Cambria Math" w:hAnsi="Cambria Math"/>
                            <w:i/>
                          </w:rPr>
                        </m:ctrlPr>
                      </m:fPr>
                      <m:num>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m</m:t>
                            </m:r>
                          </m:sub>
                        </m:sSub>
                      </m:num>
                      <m:den>
                        <m:sSub>
                          <m:sSubPr>
                            <m:ctrlPr>
                              <w:rPr>
                                <w:rFonts w:ascii="Cambria Math" w:hAnsi="Cambria Math"/>
                                <w:i/>
                              </w:rPr>
                            </m:ctrlPr>
                          </m:sSubPr>
                          <m:e>
                            <m:r>
                              <w:rPr>
                                <w:rFonts w:ascii="Cambria Math" w:hAnsi="Cambria Math"/>
                              </w:rPr>
                              <m:t>d</m:t>
                            </m:r>
                          </m:e>
                          <m:sub>
                            <m:r>
                              <w:rPr>
                                <w:rFonts w:ascii="Cambria Math" w:hAnsi="Cambria Math"/>
                              </w:rPr>
                              <m:t>m</m:t>
                            </m:r>
                          </m:sub>
                        </m:sSub>
                      </m:den>
                    </m:f>
                  </m:e>
                </m:d>
                <m:r>
                  <w:rPr>
                    <w:rFonts w:ascii="Cambria Math" w:hAnsi="Cambria Math"/>
                  </w:rPr>
                  <m:t>,</m:t>
                </m:r>
              </m:oMath>
            </m:oMathPara>
          </w:p>
        </w:tc>
        <w:tc>
          <w:tcPr>
            <w:tcW w:w="263" w:type="pct"/>
            <w:vAlign w:val="center"/>
          </w:tcPr>
          <w:p w:rsidR="00E82683" w:rsidRPr="00662582" w:rsidRDefault="00E82683" w:rsidP="00E82683">
            <w:pPr>
              <w:pStyle w:val="UOCnormal"/>
              <w:keepNext/>
              <w:jc w:val="right"/>
              <w:rPr>
                <w:rFonts w:ascii="Times New Roman" w:eastAsia="Times New Roman" w:hAnsi="Times New Roman"/>
                <w:color w:val="auto"/>
                <w:sz w:val="20"/>
                <w:szCs w:val="20"/>
                <w:lang w:val="en-GB"/>
              </w:rPr>
            </w:pPr>
            <w:r w:rsidRPr="00662582">
              <w:rPr>
                <w:rFonts w:ascii="Times New Roman" w:eastAsia="Times New Roman" w:hAnsi="Times New Roman"/>
                <w:color w:val="auto"/>
                <w:sz w:val="20"/>
                <w:szCs w:val="20"/>
                <w:lang w:val="en-GB"/>
              </w:rPr>
              <w:t>(</w:t>
            </w:r>
            <w:r w:rsidRPr="00662582">
              <w:rPr>
                <w:rFonts w:ascii="Times New Roman" w:eastAsia="Times New Roman" w:hAnsi="Times New Roman"/>
                <w:color w:val="auto"/>
                <w:sz w:val="20"/>
                <w:szCs w:val="20"/>
                <w:lang w:val="en-GB"/>
              </w:rPr>
              <w:fldChar w:fldCharType="begin"/>
            </w:r>
            <w:r w:rsidRPr="00662582">
              <w:rPr>
                <w:rFonts w:ascii="Times New Roman" w:eastAsia="Times New Roman" w:hAnsi="Times New Roman"/>
                <w:color w:val="auto"/>
                <w:sz w:val="20"/>
                <w:szCs w:val="20"/>
                <w:lang w:val="en-GB"/>
              </w:rPr>
              <w:instrText xml:space="preserve"> SEQ Ecuación \* ARABIC </w:instrText>
            </w:r>
            <w:r w:rsidRPr="00662582">
              <w:rPr>
                <w:rFonts w:ascii="Times New Roman" w:eastAsia="Times New Roman" w:hAnsi="Times New Roman"/>
                <w:color w:val="auto"/>
                <w:sz w:val="20"/>
                <w:szCs w:val="20"/>
                <w:lang w:val="en-GB"/>
              </w:rPr>
              <w:fldChar w:fldCharType="separate"/>
            </w:r>
            <w:r>
              <w:rPr>
                <w:rFonts w:ascii="Times New Roman" w:eastAsia="Times New Roman" w:hAnsi="Times New Roman"/>
                <w:noProof/>
                <w:color w:val="auto"/>
                <w:sz w:val="20"/>
                <w:szCs w:val="20"/>
                <w:lang w:val="en-GB"/>
              </w:rPr>
              <w:t>2</w:t>
            </w:r>
            <w:r w:rsidRPr="00662582">
              <w:rPr>
                <w:rFonts w:ascii="Times New Roman" w:eastAsia="Times New Roman" w:hAnsi="Times New Roman"/>
                <w:color w:val="auto"/>
                <w:sz w:val="20"/>
                <w:szCs w:val="20"/>
                <w:lang w:val="en-GB"/>
              </w:rPr>
              <w:fldChar w:fldCharType="end"/>
            </w:r>
            <w:r w:rsidRPr="00662582">
              <w:rPr>
                <w:rFonts w:ascii="Times New Roman" w:eastAsia="Times New Roman" w:hAnsi="Times New Roman"/>
                <w:color w:val="auto"/>
                <w:sz w:val="20"/>
                <w:szCs w:val="20"/>
                <w:lang w:val="en-GB"/>
              </w:rPr>
              <w:t>)</w:t>
            </w:r>
          </w:p>
        </w:tc>
      </w:tr>
    </w:tbl>
    <w:p w:rsidR="004554CD" w:rsidRDefault="00E82683" w:rsidP="005D31DB">
      <w:pPr>
        <w:spacing w:after="120"/>
        <w:jc w:val="both"/>
      </w:pPr>
      <w:r>
        <w:t xml:space="preserve">being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y</m:t>
            </m:r>
          </m:e>
          <m:sub>
            <m:r>
              <w:rPr>
                <w:rFonts w:ascii="Cambria Math" w:hAnsi="Cambria Math"/>
              </w:rPr>
              <m:t>1</m:t>
            </m:r>
          </m:sub>
        </m:sSub>
      </m:oMath>
      <w:r>
        <w:t xml:space="preserve"> the coordinates of the serving gNB,  </w:t>
      </w:r>
      <m:oMath>
        <m:sSub>
          <m:sSubPr>
            <m:ctrlPr>
              <w:rPr>
                <w:rFonts w:ascii="Cambria Math" w:hAnsi="Cambria Math"/>
                <w:i/>
              </w:rPr>
            </m:ctrlPr>
          </m:sSubPr>
          <m:e>
            <m:r>
              <w:rPr>
                <w:rFonts w:ascii="Cambria Math" w:hAnsi="Cambria Math"/>
              </w:rPr>
              <m:t>x</m:t>
            </m:r>
          </m:e>
          <m:sub>
            <m:r>
              <w:rPr>
                <w:rFonts w:ascii="Cambria Math" w:hAnsi="Cambria Math"/>
              </w:rPr>
              <m:t>m</m:t>
            </m:r>
          </m:sub>
        </m:sSub>
      </m:oMath>
      <w:r>
        <w:t xml:space="preserve"> and </w:t>
      </w:r>
      <m:oMath>
        <m:sSub>
          <m:sSubPr>
            <m:ctrlPr>
              <w:rPr>
                <w:rFonts w:ascii="Cambria Math" w:hAnsi="Cambria Math"/>
                <w:i/>
              </w:rPr>
            </m:ctrlPr>
          </m:sSubPr>
          <m:e>
            <m:r>
              <w:rPr>
                <w:rFonts w:ascii="Cambria Math" w:hAnsi="Cambria Math"/>
              </w:rPr>
              <m:t>y</m:t>
            </m:r>
          </m:e>
          <m:sub>
            <m:r>
              <w:rPr>
                <w:rFonts w:ascii="Cambria Math" w:hAnsi="Cambria Math"/>
              </w:rPr>
              <m:t>m</m:t>
            </m:r>
          </m:sub>
        </m:sSub>
      </m:oMath>
      <w:r>
        <w:t xml:space="preserve"> the coordinates of the </w:t>
      </w:r>
      <w:r w:rsidRPr="00E82683">
        <w:rPr>
          <w:i/>
        </w:rPr>
        <w:t>m</w:t>
      </w:r>
      <w:r>
        <w:t xml:space="preserve">-th gNB, </w:t>
      </w:r>
      <m:oMath>
        <m:r>
          <w:rPr>
            <w:rFonts w:ascii="Cambria Math" w:hAnsi="Cambria Math"/>
          </w:rPr>
          <m:t>x</m:t>
        </m:r>
      </m:oMath>
      <w:r>
        <w:t xml:space="preserve"> and </w:t>
      </w:r>
      <m:oMath>
        <m:r>
          <w:rPr>
            <w:rFonts w:ascii="Cambria Math" w:hAnsi="Cambria Math"/>
          </w:rPr>
          <m:t>y</m:t>
        </m:r>
      </m:oMath>
      <w:r>
        <w:t xml:space="preserve"> the coordinates of the UE,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 xml:space="preserve"> the distance between the serving gNB and UE, and </w:t>
      </w:r>
      <m:oMath>
        <m:sSub>
          <m:sSubPr>
            <m:ctrlPr>
              <w:rPr>
                <w:rFonts w:ascii="Cambria Math" w:hAnsi="Cambria Math"/>
                <w:i/>
              </w:rPr>
            </m:ctrlPr>
          </m:sSubPr>
          <m:e>
            <m:r>
              <w:rPr>
                <w:rFonts w:ascii="Cambria Math" w:hAnsi="Cambria Math"/>
              </w:rPr>
              <m:t>d</m:t>
            </m:r>
          </m:e>
          <m:sub>
            <m:r>
              <w:rPr>
                <w:rFonts w:ascii="Cambria Math" w:hAnsi="Cambria Math"/>
              </w:rPr>
              <m:t>m</m:t>
            </m:r>
          </m:sub>
        </m:sSub>
      </m:oMath>
      <w:r>
        <w:t xml:space="preserve"> the distance between the </w:t>
      </w:r>
      <w:r w:rsidRPr="00E82683">
        <w:rPr>
          <w:i/>
        </w:rPr>
        <w:t>m</w:t>
      </w:r>
      <w:r>
        <w:t xml:space="preserve">-th gNB and UE. </w:t>
      </w:r>
      <w:r w:rsidR="003C0D61">
        <w:t xml:space="preserve">The </w:t>
      </w:r>
      <w:r w:rsidR="0021334C">
        <w:t>TDOA-based</w:t>
      </w:r>
      <w:r w:rsidR="003C0D61">
        <w:t xml:space="preserve"> technique is expected to have a high precision for HDOP</w:t>
      </w:r>
      <w:r w:rsidR="0067040A">
        <w:t xml:space="preserve"> </w:t>
      </w:r>
      <w:r w:rsidR="004554CD">
        <w:t>≤</w:t>
      </w:r>
      <w:r w:rsidR="0067040A">
        <w:t xml:space="preserve"> </w:t>
      </w:r>
      <w:r w:rsidR="003C0D61">
        <w:t>2,</w:t>
      </w:r>
      <w:r w:rsidR="00181463">
        <w:t xml:space="preserve"> </w:t>
      </w:r>
      <w:r w:rsidR="003C0D61">
        <w:t>a good precision for 2</w:t>
      </w:r>
      <w:r w:rsidR="0067040A">
        <w:t xml:space="preserve"> </w:t>
      </w:r>
      <w:r w:rsidR="003C0D61">
        <w:t>&lt;</w:t>
      </w:r>
      <w:r w:rsidR="0067040A">
        <w:t xml:space="preserve"> </w:t>
      </w:r>
      <w:r w:rsidR="003C0D61">
        <w:t>HDOP</w:t>
      </w:r>
      <w:r w:rsidR="0067040A">
        <w:t xml:space="preserve"> </w:t>
      </w:r>
      <w:r w:rsidR="004554CD">
        <w:t>≤</w:t>
      </w:r>
      <w:r w:rsidR="0067040A">
        <w:t xml:space="preserve"> </w:t>
      </w:r>
      <w:r w:rsidR="003C0D61">
        <w:t>5, and a moderate-to-poor precision for HDOP</w:t>
      </w:r>
      <w:r w:rsidR="0067040A">
        <w:t xml:space="preserve"> </w:t>
      </w:r>
      <w:r w:rsidR="003C0D61">
        <w:t>&gt;</w:t>
      </w:r>
      <w:r w:rsidR="0067040A">
        <w:t xml:space="preserve"> </w:t>
      </w:r>
      <w:r w:rsidR="003C0D61">
        <w:t xml:space="preserve">5. Therefore, the UE drop procedure highly impacts the range of precisions that </w:t>
      </w:r>
      <w:r w:rsidR="00D80724">
        <w:t xml:space="preserve">can be observed on the evaluation </w:t>
      </w:r>
      <w:r w:rsidR="004554CD">
        <w:t xml:space="preserve">of </w:t>
      </w:r>
      <w:r w:rsidR="003C0D61">
        <w:t xml:space="preserve">the RAT-dependent positioning capabilities. </w:t>
      </w:r>
      <w:r w:rsidR="00BE46F4">
        <w:t>Especially,</w:t>
      </w:r>
      <w:r w:rsidR="00652670">
        <w:t xml:space="preserve"> a very good geometry is expected to lead to</w:t>
      </w:r>
      <w:r w:rsidR="00BE46F4">
        <w:t xml:space="preserve"> high-accuracy positioning. </w:t>
      </w:r>
      <w:r w:rsidR="003C0D61">
        <w:t xml:space="preserve">For instance, </w:t>
      </w:r>
      <w:r w:rsidR="00D80724">
        <w:t xml:space="preserve">the HDOP of the indoor office scenario is analysed in </w:t>
      </w:r>
      <w:r w:rsidR="00D80724">
        <w:fldChar w:fldCharType="begin"/>
      </w:r>
      <w:r w:rsidR="00D80724">
        <w:instrText xml:space="preserve"> REF _Ref528820397 \r \h </w:instrText>
      </w:r>
      <w:r w:rsidR="00D80724">
        <w:fldChar w:fldCharType="separate"/>
      </w:r>
      <w:r w:rsidR="00D80724">
        <w:t>[9]</w:t>
      </w:r>
      <w:r w:rsidR="00D80724">
        <w:fldChar w:fldCharType="end"/>
      </w:r>
      <w:r w:rsidR="00D80724">
        <w:t xml:space="preserve">, showing a poor HDOP at the </w:t>
      </w:r>
      <w:r w:rsidR="0067040A">
        <w:t xml:space="preserve">edge </w:t>
      </w:r>
      <w:r w:rsidR="00D80724">
        <w:t>sides of the floor</w:t>
      </w:r>
      <w:r w:rsidR="004554CD">
        <w:t>. This poor HDOP</w:t>
      </w:r>
      <w:r w:rsidR="00D80724">
        <w:t xml:space="preserve"> is expected to lead to a higher error or</w:t>
      </w:r>
      <w:r w:rsidR="004554CD">
        <w:t xml:space="preserve"> number of</w:t>
      </w:r>
      <w:r w:rsidR="00D80724">
        <w:t xml:space="preserve"> unavailable position fixes than at the center of the floor</w:t>
      </w:r>
      <w:r w:rsidR="004554CD">
        <w:t>, where the UE is surrounded by gNBs.</w:t>
      </w:r>
    </w:p>
    <w:p w:rsidR="00842D85" w:rsidRDefault="0067040A" w:rsidP="009100F6">
      <w:pPr>
        <w:jc w:val="both"/>
        <w:rPr>
          <w:rFonts w:ascii="Arial" w:hAnsi="Arial" w:cs="Arial"/>
          <w:color w:val="FF0000"/>
        </w:rPr>
      </w:pPr>
      <w:r>
        <w:t xml:space="preserve">The horizontal </w:t>
      </w:r>
      <w:r w:rsidR="00F9221E">
        <w:t xml:space="preserve">evaluation </w:t>
      </w:r>
      <w:r>
        <w:t xml:space="preserve">area is </w:t>
      </w:r>
      <w:r w:rsidR="00652670">
        <w:t>here</w:t>
      </w:r>
      <w:r>
        <w:t xml:space="preserve"> analysed for the urban scenarios</w:t>
      </w:r>
      <w:r w:rsidR="00F9221E">
        <w:t>. The evaluation methodology in</w:t>
      </w:r>
      <w:r>
        <w:t xml:space="preserve"> </w:t>
      </w:r>
      <w:r w:rsidR="00F9221E">
        <w:fldChar w:fldCharType="begin"/>
      </w:r>
      <w:r w:rsidR="00F9221E">
        <w:instrText xml:space="preserve"> REF _Ref528590481 \r \h  \* MERGEFORMAT </w:instrText>
      </w:r>
      <w:r w:rsidR="00F9221E">
        <w:fldChar w:fldCharType="separate"/>
      </w:r>
      <w:r w:rsidR="00F9221E">
        <w:t>[3]</w:t>
      </w:r>
      <w:r w:rsidR="00F9221E">
        <w:fldChar w:fldCharType="end"/>
      </w:r>
      <w:r w:rsidR="00F9221E">
        <w:t xml:space="preserve"> defines a hexagonal grid for the UMi street canyon and UMa scenarios. Let us consider the UMi scenario with ISD equal to 200 m, and the use of </w:t>
      </w:r>
      <w:r w:rsidR="001A2E23">
        <w:t xml:space="preserve">the </w:t>
      </w:r>
      <w:r w:rsidR="00F9221E">
        <w:t xml:space="preserve">6 closest gNBs for positioning (i.e., by considering </w:t>
      </w:r>
      <w:r w:rsidR="001A2E23">
        <w:t xml:space="preserve">a </w:t>
      </w:r>
      <w:r w:rsidR="00F9221E">
        <w:t>PRS reuse factor of 6)</w:t>
      </w:r>
      <w:r w:rsidR="00BE46F4">
        <w:t>. The UEs are dropped uniformly in an area of 800 x 800 m</w:t>
      </w:r>
      <w:r w:rsidR="00F9221E">
        <w:t xml:space="preserve">. As it is shown in </w:t>
      </w:r>
      <w:r w:rsidR="00F9221E">
        <w:fldChar w:fldCharType="begin"/>
      </w:r>
      <w:r w:rsidR="00F9221E">
        <w:instrText xml:space="preserve"> REF _Ref528823267 \h </w:instrText>
      </w:r>
      <w:r w:rsidR="00F9221E">
        <w:fldChar w:fldCharType="separate"/>
      </w:r>
      <w:r w:rsidR="00F9221E">
        <w:t xml:space="preserve">Figure </w:t>
      </w:r>
      <w:r w:rsidR="00F9221E">
        <w:rPr>
          <w:noProof/>
        </w:rPr>
        <w:t>1</w:t>
      </w:r>
      <w:r w:rsidR="00F9221E">
        <w:fldChar w:fldCharType="end"/>
      </w:r>
      <w:r w:rsidR="00F9221E">
        <w:t xml:space="preserve">.a), the HDOP increases as the UE moves to the edges of network deployment, while the best </w:t>
      </w:r>
      <w:r w:rsidR="001A2E23">
        <w:t>precision is obtained when the UE is surrounded by gNBs as expected</w:t>
      </w:r>
      <w:r w:rsidR="00F9221E">
        <w:t>.</w:t>
      </w:r>
      <w:r w:rsidR="001A2E23">
        <w:t xml:space="preserve"> Note that the darkest red region indicates HDOP &gt; 5. This hexagonal layout is now compared with an example random uniform layout and an example real layout. The random uniform layout is generated by considering </w:t>
      </w:r>
      <w:r w:rsidR="001A2E23" w:rsidRPr="001A2E23">
        <w:t>minimum distance between</w:t>
      </w:r>
      <w:r w:rsidR="001A2E23">
        <w:t xml:space="preserve"> gNBs equal to the ISD, while the real layout</w:t>
      </w:r>
      <w:r w:rsidR="007A5B02">
        <w:t xml:space="preserve"> (designed for communications purposes)</w:t>
      </w:r>
      <w:r w:rsidR="001A2E23">
        <w:t xml:space="preserve"> is obtained from a dense urban area. As it can be seen in </w:t>
      </w:r>
      <w:r w:rsidR="001A2E23">
        <w:fldChar w:fldCharType="begin"/>
      </w:r>
      <w:r w:rsidR="001A2E23">
        <w:instrText xml:space="preserve"> REF _Ref528823267 \h </w:instrText>
      </w:r>
      <w:r w:rsidR="001A2E23">
        <w:fldChar w:fldCharType="separate"/>
      </w:r>
      <w:r w:rsidR="001A2E23">
        <w:t xml:space="preserve">Figure </w:t>
      </w:r>
      <w:r w:rsidR="001A2E23">
        <w:rPr>
          <w:noProof/>
        </w:rPr>
        <w:t>1</w:t>
      </w:r>
      <w:r w:rsidR="001A2E23">
        <w:fldChar w:fldCharType="end"/>
      </w:r>
      <w:r w:rsidR="001A2E23">
        <w:t xml:space="preserve">.b) and c), the higher </w:t>
      </w:r>
      <w:r w:rsidR="008938FF">
        <w:t>density</w:t>
      </w:r>
      <w:r w:rsidR="001A2E23">
        <w:t xml:space="preserve"> of gNBs with respect to the hexagonal layout </w:t>
      </w:r>
      <w:r w:rsidR="00BE46F4">
        <w:t xml:space="preserve">increases </w:t>
      </w:r>
      <w:r w:rsidR="001A2E23">
        <w:t xml:space="preserve">the </w:t>
      </w:r>
      <w:r w:rsidR="00BE46F4">
        <w:t>regions</w:t>
      </w:r>
      <w:r w:rsidR="001A2E23">
        <w:t xml:space="preserve"> </w:t>
      </w:r>
      <w:r w:rsidR="00BE46F4">
        <w:t>with a very good HDOP. Still, the edges of the network deployment result in a moderate-to-poor HDOP.</w:t>
      </w:r>
      <w:r w:rsidR="001A2E23">
        <w:t xml:space="preserve"> </w:t>
      </w:r>
      <w:r w:rsidR="008938FF">
        <w:rPr>
          <w:noProof/>
        </w:rPr>
        <w:t xml:space="preserve">Thus, the </w:t>
      </w:r>
      <w:r w:rsidR="008938FF">
        <w:t xml:space="preserve">availability of high-accuracy positioning is shown in </w:t>
      </w:r>
      <w:r w:rsidR="008938FF">
        <w:fldChar w:fldCharType="begin"/>
      </w:r>
      <w:r w:rsidR="008938FF">
        <w:instrText xml:space="preserve"> REF _Ref528823267 \h </w:instrText>
      </w:r>
      <w:r w:rsidR="008938FF">
        <w:fldChar w:fldCharType="separate"/>
      </w:r>
      <w:r w:rsidR="008938FF">
        <w:t xml:space="preserve">Figure </w:t>
      </w:r>
      <w:r w:rsidR="008938FF">
        <w:rPr>
          <w:noProof/>
        </w:rPr>
        <w:t>1</w:t>
      </w:r>
      <w:r w:rsidR="008938FF">
        <w:fldChar w:fldCharType="end"/>
      </w:r>
      <w:r w:rsidR="008938FF">
        <w:t xml:space="preserve"> to depend on the evaluation area and the network density.</w:t>
      </w:r>
    </w:p>
    <w:tbl>
      <w:tblPr>
        <w:tblW w:w="0" w:type="auto"/>
        <w:jc w:val="center"/>
        <w:tblLook w:val="04A0" w:firstRow="1" w:lastRow="0" w:firstColumn="1" w:lastColumn="0" w:noHBand="0" w:noVBand="1"/>
      </w:tblPr>
      <w:tblGrid>
        <w:gridCol w:w="3289"/>
        <w:gridCol w:w="3288"/>
        <w:gridCol w:w="3288"/>
      </w:tblGrid>
      <w:tr w:rsidR="00842D85" w:rsidRPr="008B7268" w:rsidTr="008B7268">
        <w:trPr>
          <w:jc w:val="center"/>
        </w:trPr>
        <w:tc>
          <w:tcPr>
            <w:tcW w:w="3360" w:type="dxa"/>
            <w:shd w:val="clear" w:color="auto" w:fill="auto"/>
          </w:tcPr>
          <w:p w:rsidR="00842D85" w:rsidRPr="00BA142A" w:rsidRDefault="00B676D5" w:rsidP="008B7268">
            <w:pPr>
              <w:jc w:val="center"/>
              <w:rPr>
                <w:noProof/>
              </w:rPr>
            </w:pPr>
            <w:r w:rsidRPr="00BA142A">
              <w:rPr>
                <w:noProof/>
                <w:lang w:eastAsia="en-GB"/>
              </w:rPr>
              <w:drawing>
                <wp:inline distT="0" distB="0" distL="0" distR="0">
                  <wp:extent cx="2023745" cy="15157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3745" cy="1515745"/>
                          </a:xfrm>
                          <a:prstGeom prst="rect">
                            <a:avLst/>
                          </a:prstGeom>
                          <a:noFill/>
                          <a:ln>
                            <a:noFill/>
                          </a:ln>
                        </pic:spPr>
                      </pic:pic>
                    </a:graphicData>
                  </a:graphic>
                </wp:inline>
              </w:drawing>
            </w:r>
          </w:p>
          <w:p w:rsidR="00842D85" w:rsidRPr="00BA142A" w:rsidRDefault="00842D85" w:rsidP="008B7268">
            <w:pPr>
              <w:numPr>
                <w:ilvl w:val="0"/>
                <w:numId w:val="17"/>
              </w:numPr>
              <w:jc w:val="center"/>
            </w:pPr>
            <w:r w:rsidRPr="00BA142A">
              <w:t>3GPP hexagonal layout</w:t>
            </w:r>
          </w:p>
        </w:tc>
        <w:tc>
          <w:tcPr>
            <w:tcW w:w="3360" w:type="dxa"/>
            <w:shd w:val="clear" w:color="auto" w:fill="auto"/>
          </w:tcPr>
          <w:p w:rsidR="00AE5937" w:rsidRPr="00BA142A" w:rsidRDefault="00B676D5" w:rsidP="008B7268">
            <w:pPr>
              <w:jc w:val="center"/>
              <w:rPr>
                <w:noProof/>
              </w:rPr>
            </w:pPr>
            <w:r w:rsidRPr="00BA142A">
              <w:rPr>
                <w:noProof/>
                <w:lang w:eastAsia="en-GB"/>
              </w:rPr>
              <w:drawing>
                <wp:inline distT="0" distB="0" distL="0" distR="0">
                  <wp:extent cx="2023745" cy="1481455"/>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3745" cy="1481455"/>
                          </a:xfrm>
                          <a:prstGeom prst="rect">
                            <a:avLst/>
                          </a:prstGeom>
                          <a:noFill/>
                          <a:ln>
                            <a:noFill/>
                          </a:ln>
                        </pic:spPr>
                      </pic:pic>
                    </a:graphicData>
                  </a:graphic>
                </wp:inline>
              </w:drawing>
            </w:r>
          </w:p>
          <w:p w:rsidR="00842D85" w:rsidRPr="00BA142A" w:rsidRDefault="00842D85" w:rsidP="008B7268">
            <w:pPr>
              <w:numPr>
                <w:ilvl w:val="0"/>
                <w:numId w:val="17"/>
              </w:numPr>
              <w:jc w:val="center"/>
            </w:pPr>
            <w:r w:rsidRPr="00BA142A">
              <w:t>Random uniform layout</w:t>
            </w:r>
          </w:p>
        </w:tc>
        <w:tc>
          <w:tcPr>
            <w:tcW w:w="3361" w:type="dxa"/>
            <w:shd w:val="clear" w:color="auto" w:fill="auto"/>
          </w:tcPr>
          <w:p w:rsidR="00842D85" w:rsidRPr="00BA142A" w:rsidRDefault="00B676D5" w:rsidP="008B7268">
            <w:pPr>
              <w:jc w:val="center"/>
              <w:rPr>
                <w:noProof/>
              </w:rPr>
            </w:pPr>
            <w:r w:rsidRPr="00BA142A">
              <w:rPr>
                <w:noProof/>
                <w:lang w:eastAsia="en-GB"/>
              </w:rPr>
              <w:drawing>
                <wp:inline distT="0" distB="0" distL="0" distR="0">
                  <wp:extent cx="2023745" cy="148145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3745" cy="1481455"/>
                          </a:xfrm>
                          <a:prstGeom prst="rect">
                            <a:avLst/>
                          </a:prstGeom>
                          <a:noFill/>
                          <a:ln>
                            <a:noFill/>
                          </a:ln>
                        </pic:spPr>
                      </pic:pic>
                    </a:graphicData>
                  </a:graphic>
                </wp:inline>
              </w:drawing>
            </w:r>
          </w:p>
          <w:p w:rsidR="00842D85" w:rsidRPr="00BA142A" w:rsidRDefault="00842D85" w:rsidP="008B7268">
            <w:pPr>
              <w:keepNext/>
              <w:numPr>
                <w:ilvl w:val="0"/>
                <w:numId w:val="17"/>
              </w:numPr>
              <w:jc w:val="center"/>
            </w:pPr>
            <w:r w:rsidRPr="00BA142A">
              <w:t>Example real layout</w:t>
            </w:r>
          </w:p>
        </w:tc>
      </w:tr>
    </w:tbl>
    <w:p w:rsidR="00842D85" w:rsidRDefault="00AE5937" w:rsidP="009100F6">
      <w:pPr>
        <w:pStyle w:val="Caption"/>
        <w:spacing w:before="60" w:after="120"/>
        <w:jc w:val="center"/>
        <w:rPr>
          <w:rFonts w:ascii="Arial" w:hAnsi="Arial" w:cs="Arial"/>
          <w:color w:val="FF0000"/>
        </w:rPr>
      </w:pPr>
      <w:bookmarkStart w:id="1" w:name="_Ref528823267"/>
      <w:r>
        <w:t xml:space="preserve">Figure </w:t>
      </w:r>
      <w:r w:rsidR="004A32EF">
        <w:rPr>
          <w:noProof/>
        </w:rPr>
        <w:fldChar w:fldCharType="begin"/>
      </w:r>
      <w:r w:rsidR="004A32EF">
        <w:rPr>
          <w:noProof/>
        </w:rPr>
        <w:instrText xml:space="preserve"> SEQ Figure \* ARABIC </w:instrText>
      </w:r>
      <w:r w:rsidR="004A32EF">
        <w:rPr>
          <w:noProof/>
        </w:rPr>
        <w:fldChar w:fldCharType="separate"/>
      </w:r>
      <w:r w:rsidR="009B6C31">
        <w:rPr>
          <w:noProof/>
        </w:rPr>
        <w:t>1</w:t>
      </w:r>
      <w:r w:rsidR="004A32EF">
        <w:rPr>
          <w:noProof/>
        </w:rPr>
        <w:fldChar w:fldCharType="end"/>
      </w:r>
      <w:bookmarkEnd w:id="1"/>
      <w:r>
        <w:t xml:space="preserve">. </w:t>
      </w:r>
      <w:r w:rsidR="00F9221E">
        <w:t xml:space="preserve">HDOP for TDoA positioning over </w:t>
      </w:r>
      <w:r>
        <w:t>urban micro scenarios with ISD = 200 m.</w:t>
      </w:r>
    </w:p>
    <w:p w:rsidR="0089692E" w:rsidRDefault="0089692E" w:rsidP="00652670">
      <w:pPr>
        <w:jc w:val="both"/>
        <w:rPr>
          <w:noProof/>
        </w:rPr>
      </w:pPr>
      <w:r>
        <w:t xml:space="preserve">This impact is further assessed by bounding the evaluation area of 800 x 800 m according to the HDOP. </w:t>
      </w:r>
      <w:r w:rsidR="00632D85">
        <w:t>Then, t</w:t>
      </w:r>
      <w:r>
        <w:t xml:space="preserve">he CDF of the HDOP for the UE positions </w:t>
      </w:r>
      <w:r w:rsidR="00632D85">
        <w:t xml:space="preserve">is computed </w:t>
      </w:r>
      <w:r>
        <w:t>over three different areas</w:t>
      </w:r>
      <w:r w:rsidR="00632D85">
        <w:t>:</w:t>
      </w:r>
      <w:r>
        <w:t xml:space="preserve"> areas with HDOP ≤ 2,</w:t>
      </w:r>
      <w:r w:rsidR="00632D85">
        <w:t xml:space="preserve"> areas with HDOP ≤ 5, and full area of 800 x 800 m. As it is shown in </w:t>
      </w:r>
      <w:r w:rsidR="00632D85">
        <w:fldChar w:fldCharType="begin"/>
      </w:r>
      <w:r w:rsidR="00632D85">
        <w:instrText xml:space="preserve"> REF _Ref528826124 \h </w:instrText>
      </w:r>
      <w:r w:rsidR="00632D85">
        <w:fldChar w:fldCharType="separate"/>
      </w:r>
      <w:r w:rsidR="00632D85">
        <w:t xml:space="preserve">Figure </w:t>
      </w:r>
      <w:r w:rsidR="00632D85">
        <w:rPr>
          <w:noProof/>
        </w:rPr>
        <w:t>2</w:t>
      </w:r>
      <w:r w:rsidR="00632D85">
        <w:fldChar w:fldCharType="end"/>
      </w:r>
      <w:r w:rsidR="00632D85">
        <w:t>.a), when the areas are bounded to very good geometry, the hexagonal, random uniform and real layouts have very similar HDOP values</w:t>
      </w:r>
      <w:r w:rsidR="008938FF">
        <w:t>, because the network density is very similar</w:t>
      </w:r>
      <w:r w:rsidR="00632D85">
        <w:t xml:space="preserve">. However, as the evaluation area increases, the considered hexagonal layout is not representative from a geometrical perspective with respect to more realistic deployments. In contrast, the uniform random layout is too optimistic, because the evaluation area is </w:t>
      </w:r>
      <w:r w:rsidR="008938FF">
        <w:t xml:space="preserve">mainly focused on a region with a high density of </w:t>
      </w:r>
      <w:r w:rsidR="00632D85">
        <w:t>gNBs</w:t>
      </w:r>
      <w:r w:rsidR="008938FF">
        <w:t>.</w:t>
      </w:r>
      <w:r w:rsidR="00632D85">
        <w:t xml:space="preserve"> </w:t>
      </w:r>
      <w:r w:rsidR="008938FF">
        <w:t xml:space="preserve">Therefore, the evaluation area can be defined depending on the range of </w:t>
      </w:r>
      <w:r w:rsidR="008938FF">
        <w:lastRenderedPageBreak/>
        <w:t xml:space="preserve">expected HDOP values, which </w:t>
      </w:r>
      <w:bookmarkStart w:id="2" w:name="_Hlk528827052"/>
      <w:r w:rsidR="008938FF">
        <w:t>determines the expected availability of high-accuracy positioning</w:t>
      </w:r>
      <w:bookmarkEnd w:id="2"/>
      <w:r w:rsidR="008938FF">
        <w:t xml:space="preserve">. </w:t>
      </w:r>
      <w:r w:rsidR="003557C7">
        <w:t xml:space="preserve">In this sense, 5G enhanced positioning service areas are expected to cover UEs locations with HDOP ≤ 2, while nominal 5G positioning service areas are expected to cover UEs locations with HDOP ≤ 5 (or higher). </w:t>
      </w:r>
    </w:p>
    <w:tbl>
      <w:tblPr>
        <w:tblW w:w="0" w:type="auto"/>
        <w:jc w:val="center"/>
        <w:tblLook w:val="04A0" w:firstRow="1" w:lastRow="0" w:firstColumn="1" w:lastColumn="0" w:noHBand="0" w:noVBand="1"/>
      </w:tblPr>
      <w:tblGrid>
        <w:gridCol w:w="3289"/>
        <w:gridCol w:w="3288"/>
        <w:gridCol w:w="3288"/>
      </w:tblGrid>
      <w:tr w:rsidR="00AE5937" w:rsidRPr="008B7268" w:rsidTr="008938FF">
        <w:trPr>
          <w:jc w:val="center"/>
        </w:trPr>
        <w:tc>
          <w:tcPr>
            <w:tcW w:w="3289" w:type="dxa"/>
            <w:shd w:val="clear" w:color="auto" w:fill="auto"/>
          </w:tcPr>
          <w:p w:rsidR="00AE5937" w:rsidRPr="00BA142A" w:rsidRDefault="00B676D5" w:rsidP="008B7268">
            <w:pPr>
              <w:jc w:val="center"/>
              <w:rPr>
                <w:noProof/>
              </w:rPr>
            </w:pPr>
            <w:r w:rsidRPr="00BA142A">
              <w:rPr>
                <w:noProof/>
                <w:lang w:eastAsia="en-GB"/>
              </w:rPr>
              <w:drawing>
                <wp:inline distT="0" distB="0" distL="0" distR="0">
                  <wp:extent cx="2023745" cy="1481455"/>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3745" cy="1481455"/>
                          </a:xfrm>
                          <a:prstGeom prst="rect">
                            <a:avLst/>
                          </a:prstGeom>
                          <a:noFill/>
                          <a:ln>
                            <a:noFill/>
                          </a:ln>
                        </pic:spPr>
                      </pic:pic>
                    </a:graphicData>
                  </a:graphic>
                </wp:inline>
              </w:drawing>
            </w:r>
          </w:p>
          <w:p w:rsidR="00AE5937" w:rsidRPr="00BA142A" w:rsidRDefault="00AE5937" w:rsidP="008B7268">
            <w:pPr>
              <w:numPr>
                <w:ilvl w:val="0"/>
                <w:numId w:val="18"/>
              </w:numPr>
              <w:jc w:val="center"/>
            </w:pPr>
            <w:r w:rsidRPr="00BA142A">
              <w:t>Region with HDOP &lt; 2</w:t>
            </w:r>
          </w:p>
        </w:tc>
        <w:tc>
          <w:tcPr>
            <w:tcW w:w="3288" w:type="dxa"/>
            <w:shd w:val="clear" w:color="auto" w:fill="auto"/>
          </w:tcPr>
          <w:p w:rsidR="00AE5937" w:rsidRPr="00BA142A" w:rsidRDefault="00B676D5" w:rsidP="008B7268">
            <w:pPr>
              <w:jc w:val="center"/>
              <w:rPr>
                <w:noProof/>
              </w:rPr>
            </w:pPr>
            <w:r w:rsidRPr="00BA142A">
              <w:rPr>
                <w:noProof/>
                <w:lang w:eastAsia="en-GB"/>
              </w:rPr>
              <w:drawing>
                <wp:inline distT="0" distB="0" distL="0" distR="0">
                  <wp:extent cx="2023745" cy="1503045"/>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3745" cy="1503045"/>
                          </a:xfrm>
                          <a:prstGeom prst="rect">
                            <a:avLst/>
                          </a:prstGeom>
                          <a:noFill/>
                          <a:ln>
                            <a:noFill/>
                          </a:ln>
                        </pic:spPr>
                      </pic:pic>
                    </a:graphicData>
                  </a:graphic>
                </wp:inline>
              </w:drawing>
            </w:r>
          </w:p>
          <w:p w:rsidR="00AE5937" w:rsidRPr="00BA142A" w:rsidRDefault="002A2C6B" w:rsidP="008B7268">
            <w:pPr>
              <w:numPr>
                <w:ilvl w:val="0"/>
                <w:numId w:val="18"/>
              </w:numPr>
              <w:jc w:val="center"/>
            </w:pPr>
            <w:r w:rsidRPr="00BA142A">
              <w:t>Region with HDOP &lt; 5</w:t>
            </w:r>
          </w:p>
        </w:tc>
        <w:tc>
          <w:tcPr>
            <w:tcW w:w="3288" w:type="dxa"/>
            <w:shd w:val="clear" w:color="auto" w:fill="auto"/>
          </w:tcPr>
          <w:p w:rsidR="00AE5937" w:rsidRPr="00BA142A" w:rsidRDefault="00B676D5" w:rsidP="008B7268">
            <w:pPr>
              <w:jc w:val="center"/>
              <w:rPr>
                <w:noProof/>
              </w:rPr>
            </w:pPr>
            <w:r w:rsidRPr="00BA142A">
              <w:rPr>
                <w:noProof/>
                <w:lang w:eastAsia="en-GB"/>
              </w:rPr>
              <w:drawing>
                <wp:inline distT="0" distB="0" distL="0" distR="0">
                  <wp:extent cx="2023745" cy="14814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3745" cy="1481455"/>
                          </a:xfrm>
                          <a:prstGeom prst="rect">
                            <a:avLst/>
                          </a:prstGeom>
                          <a:noFill/>
                          <a:ln>
                            <a:noFill/>
                          </a:ln>
                        </pic:spPr>
                      </pic:pic>
                    </a:graphicData>
                  </a:graphic>
                </wp:inline>
              </w:drawing>
            </w:r>
          </w:p>
          <w:p w:rsidR="00AE5937" w:rsidRPr="00BA142A" w:rsidRDefault="00652670" w:rsidP="008B7268">
            <w:pPr>
              <w:keepNext/>
              <w:numPr>
                <w:ilvl w:val="0"/>
                <w:numId w:val="18"/>
              </w:numPr>
              <w:jc w:val="center"/>
            </w:pPr>
            <w:r>
              <w:t>Full r</w:t>
            </w:r>
            <w:r w:rsidR="002A2C6B" w:rsidRPr="00BA142A">
              <w:t>egion</w:t>
            </w:r>
          </w:p>
        </w:tc>
      </w:tr>
    </w:tbl>
    <w:p w:rsidR="00AE5937" w:rsidRDefault="00AE5937" w:rsidP="009100F6">
      <w:pPr>
        <w:pStyle w:val="Caption"/>
        <w:spacing w:before="60" w:after="120"/>
        <w:jc w:val="center"/>
        <w:rPr>
          <w:rFonts w:ascii="Arial" w:hAnsi="Arial" w:cs="Arial"/>
          <w:color w:val="FF0000"/>
        </w:rPr>
      </w:pPr>
      <w:bookmarkStart w:id="3" w:name="_Ref528826124"/>
      <w:r>
        <w:t xml:space="preserve">Figure </w:t>
      </w:r>
      <w:r w:rsidR="004A32EF">
        <w:rPr>
          <w:noProof/>
        </w:rPr>
        <w:fldChar w:fldCharType="begin"/>
      </w:r>
      <w:r w:rsidR="004A32EF">
        <w:rPr>
          <w:noProof/>
        </w:rPr>
        <w:instrText xml:space="preserve"> SEQ Figure \* ARABIC </w:instrText>
      </w:r>
      <w:r w:rsidR="004A32EF">
        <w:rPr>
          <w:noProof/>
        </w:rPr>
        <w:fldChar w:fldCharType="separate"/>
      </w:r>
      <w:r w:rsidR="009B6C31">
        <w:rPr>
          <w:noProof/>
        </w:rPr>
        <w:t>2</w:t>
      </w:r>
      <w:r w:rsidR="004A32EF">
        <w:rPr>
          <w:noProof/>
        </w:rPr>
        <w:fldChar w:fldCharType="end"/>
      </w:r>
      <w:bookmarkEnd w:id="3"/>
      <w:r>
        <w:t xml:space="preserve">. </w:t>
      </w:r>
      <w:r w:rsidR="002A2C6B">
        <w:t xml:space="preserve">CDF of the HDOP for TDoA positioning </w:t>
      </w:r>
      <w:r w:rsidR="00F9221E">
        <w:t>over</w:t>
      </w:r>
      <w:r w:rsidR="002A2C6B">
        <w:t xml:space="preserve"> urban micro scenarios with ISD = 200 m</w:t>
      </w:r>
      <w:r>
        <w:t>.</w:t>
      </w:r>
    </w:p>
    <w:p w:rsidR="007748CF" w:rsidRDefault="00E401B9" w:rsidP="008938FF">
      <w:pPr>
        <w:spacing w:after="120"/>
        <w:jc w:val="both"/>
      </w:pPr>
      <w:r>
        <w:t>These results can be directly extrapolated for the UMa scenario by scaling the distances between gNBs, e.g. by changing the ISD from 200 m to 500 m. In this case, the definition of the horizontal area</w:t>
      </w:r>
      <w:r w:rsidR="007748CF">
        <w:t xml:space="preserve"> </w:t>
      </w:r>
      <w:r>
        <w:t>is especially relevant for the evaluation methodology to fulfil E911 regulatory requirements.</w:t>
      </w:r>
    </w:p>
    <w:p w:rsidR="008938FF" w:rsidRDefault="008938FF" w:rsidP="008938FF">
      <w:pPr>
        <w:spacing w:after="120"/>
        <w:jc w:val="both"/>
        <w:rPr>
          <w:b/>
        </w:rPr>
      </w:pPr>
      <w:r w:rsidRPr="00BE4C30">
        <w:rPr>
          <w:b/>
        </w:rPr>
        <w:t xml:space="preserve">Observation </w:t>
      </w:r>
      <w:r w:rsidR="00A60040">
        <w:rPr>
          <w:b/>
        </w:rPr>
        <w:t>4</w:t>
      </w:r>
      <w:r w:rsidRPr="00BE4C30">
        <w:rPr>
          <w:b/>
        </w:rPr>
        <w:t>:</w:t>
      </w:r>
      <w:r>
        <w:rPr>
          <w:b/>
        </w:rPr>
        <w:t xml:space="preserve"> </w:t>
      </w:r>
      <w:r w:rsidR="005747A9">
        <w:rPr>
          <w:b/>
        </w:rPr>
        <w:t xml:space="preserve">The UE drop horizontal area and the network density </w:t>
      </w:r>
      <w:r w:rsidR="005747A9" w:rsidRPr="008938FF">
        <w:rPr>
          <w:b/>
        </w:rPr>
        <w:t>determine the expected availability of high-accuracy positioning</w:t>
      </w:r>
      <w:r w:rsidR="005747A9">
        <w:rPr>
          <w:b/>
        </w:rPr>
        <w:t xml:space="preserve"> within the evaluation results.</w:t>
      </w:r>
    </w:p>
    <w:p w:rsidR="008938FF" w:rsidRDefault="00A60040" w:rsidP="008938FF">
      <w:pPr>
        <w:spacing w:after="120"/>
        <w:jc w:val="both"/>
        <w:rPr>
          <w:b/>
        </w:rPr>
      </w:pPr>
      <w:r>
        <w:rPr>
          <w:b/>
        </w:rPr>
        <w:t>Proposal 2</w:t>
      </w:r>
      <w:r w:rsidR="008938FF">
        <w:rPr>
          <w:b/>
        </w:rPr>
        <w:t>: The evaluation methodology should define the UE drop horizontal area</w:t>
      </w:r>
      <w:r w:rsidR="003557C7">
        <w:rPr>
          <w:b/>
        </w:rPr>
        <w:t xml:space="preserve"> </w:t>
      </w:r>
      <w:r w:rsidR="00D5794C">
        <w:rPr>
          <w:b/>
        </w:rPr>
        <w:t>according to</w:t>
      </w:r>
      <w:r w:rsidR="003557C7">
        <w:rPr>
          <w:b/>
        </w:rPr>
        <w:t xml:space="preserve"> the positioning service area, i.e., nominal positioning service area </w:t>
      </w:r>
      <w:r w:rsidR="00D5794C">
        <w:rPr>
          <w:b/>
        </w:rPr>
        <w:t>and</w:t>
      </w:r>
      <w:r w:rsidR="003557C7">
        <w:rPr>
          <w:b/>
        </w:rPr>
        <w:t xml:space="preserve"> enhanced positioning service area</w:t>
      </w:r>
      <w:r w:rsidR="008938FF">
        <w:rPr>
          <w:b/>
        </w:rPr>
        <w:t>.</w:t>
      </w:r>
      <w:r w:rsidR="00E401B9">
        <w:rPr>
          <w:b/>
        </w:rPr>
        <w:t xml:space="preserve"> For the nominal positioning service area, the definition of the horizontal area is especially relevant to fulfil E911 regulatory requirements.</w:t>
      </w:r>
    </w:p>
    <w:p w:rsidR="00152077" w:rsidRPr="003557C7" w:rsidRDefault="003E64EB" w:rsidP="00AD412C">
      <w:pPr>
        <w:numPr>
          <w:ilvl w:val="1"/>
          <w:numId w:val="7"/>
        </w:numPr>
        <w:spacing w:after="120"/>
        <w:ind w:left="431" w:hanging="431"/>
        <w:rPr>
          <w:rFonts w:ascii="Arial" w:hAnsi="Arial" w:cs="Arial"/>
          <w:b/>
          <w:color w:val="000000" w:themeColor="text1"/>
        </w:rPr>
      </w:pPr>
      <w:r w:rsidRPr="003557C7">
        <w:rPr>
          <w:rFonts w:ascii="Arial" w:hAnsi="Arial" w:cs="Arial"/>
          <w:b/>
          <w:color w:val="000000" w:themeColor="text1"/>
        </w:rPr>
        <w:t>3GPP channel models</w:t>
      </w:r>
    </w:p>
    <w:p w:rsidR="00625E69" w:rsidRDefault="00690B5F" w:rsidP="00AD412C">
      <w:pPr>
        <w:spacing w:after="120"/>
        <w:jc w:val="both"/>
      </w:pPr>
      <w:r>
        <w:t>The 3GPP channel models</w:t>
      </w:r>
      <w:r w:rsidR="00AD412C">
        <w:t>, which are</w:t>
      </w:r>
      <w:r>
        <w:t xml:space="preserve"> adopted in the evaluation methodology </w:t>
      </w:r>
      <w:r w:rsidR="00625E69">
        <w:t>based on</w:t>
      </w:r>
      <w:r w:rsidR="002023A0">
        <w:t xml:space="preserve"> TR 38.901</w:t>
      </w:r>
      <w:r w:rsidR="00AD412C">
        <w:t xml:space="preserve"> </w:t>
      </w:r>
      <w:r w:rsidR="00AD412C">
        <w:fldChar w:fldCharType="begin"/>
      </w:r>
      <w:r w:rsidR="00AD412C">
        <w:instrText xml:space="preserve"> REF _Ref528592376 \r \h </w:instrText>
      </w:r>
      <w:r w:rsidR="00AD412C">
        <w:fldChar w:fldCharType="separate"/>
      </w:r>
      <w:r w:rsidR="00AD412C">
        <w:t>[4]</w:t>
      </w:r>
      <w:r w:rsidR="00AD412C">
        <w:fldChar w:fldCharType="end"/>
      </w:r>
      <w:r w:rsidR="00AD412C">
        <w:t xml:space="preserve">, </w:t>
      </w:r>
      <w:r>
        <w:t xml:space="preserve">were largely discussed during RAN1#94bis meeting. </w:t>
      </w:r>
      <w:r w:rsidR="00625E69">
        <w:t>T</w:t>
      </w:r>
      <w:r w:rsidR="002023A0">
        <w:t>he</w:t>
      </w:r>
      <w:r w:rsidR="00435F67">
        <w:t xml:space="preserve"> main reason is that</w:t>
      </w:r>
      <w:r w:rsidR="002023A0">
        <w:t xml:space="preserve"> </w:t>
      </w:r>
      <w:r w:rsidR="00AD412C">
        <w:t xml:space="preserve">3GPP channel models </w:t>
      </w:r>
      <w:r w:rsidR="00625E69">
        <w:t xml:space="preserve">are </w:t>
      </w:r>
      <w:r w:rsidR="00435F67">
        <w:t xml:space="preserve">considered </w:t>
      </w:r>
      <w:r w:rsidR="00625E69">
        <w:t>not representative or suitable for positioning. Three main aspects</w:t>
      </w:r>
      <w:r w:rsidR="00C55D10">
        <w:t xml:space="preserve"> should be considered on the use of TR 38.901 channel models for positioning:</w:t>
      </w:r>
    </w:p>
    <w:p w:rsidR="00C55D10" w:rsidRPr="00C55D10" w:rsidRDefault="00C55D10" w:rsidP="00AD412C">
      <w:pPr>
        <w:numPr>
          <w:ilvl w:val="0"/>
          <w:numId w:val="26"/>
        </w:numPr>
        <w:spacing w:after="120"/>
        <w:jc w:val="both"/>
      </w:pPr>
      <w:r w:rsidRPr="00C55D10">
        <w:rPr>
          <w:b/>
        </w:rPr>
        <w:t>Negligible</w:t>
      </w:r>
      <w:r w:rsidR="00435F67" w:rsidRPr="00435F67">
        <w:t xml:space="preserve"> </w:t>
      </w:r>
      <w:r w:rsidR="00435F67" w:rsidRPr="00435F67">
        <w:rPr>
          <w:b/>
        </w:rPr>
        <w:t>close-in</w:t>
      </w:r>
      <w:r w:rsidRPr="00C55D10">
        <w:rPr>
          <w:b/>
        </w:rPr>
        <w:t xml:space="preserve"> multipath in LoS</w:t>
      </w:r>
      <w:r>
        <w:t xml:space="preserve">: the LoS channel model defines a dominant contribution of the LoS component. According to </w:t>
      </w:r>
      <w:r>
        <w:fldChar w:fldCharType="begin"/>
      </w:r>
      <w:r>
        <w:instrText xml:space="preserve"> REF _Ref528830185 \r \h </w:instrText>
      </w:r>
      <w:r>
        <w:fldChar w:fldCharType="separate"/>
      </w:r>
      <w:r>
        <w:t>[10]</w:t>
      </w:r>
      <w:r>
        <w:fldChar w:fldCharType="end"/>
      </w:r>
      <w:r>
        <w:t>, this is due to the normalization of the power among many clusters. As a result, the channel impulse response (CIR) in LoS conditions appears to be “optimistic” for positioning, by neglecting the effect of close-in multipath.</w:t>
      </w:r>
    </w:p>
    <w:p w:rsidR="00AD412C" w:rsidRDefault="00BA3A70" w:rsidP="00AD412C">
      <w:pPr>
        <w:numPr>
          <w:ilvl w:val="0"/>
          <w:numId w:val="26"/>
        </w:numPr>
        <w:spacing w:after="120"/>
        <w:jc w:val="both"/>
      </w:pPr>
      <w:r>
        <w:rPr>
          <w:b/>
        </w:rPr>
        <w:t>Random a</w:t>
      </w:r>
      <w:r w:rsidR="00C57DBE">
        <w:rPr>
          <w:b/>
        </w:rPr>
        <w:t>ngle of first NLoS arrival path</w:t>
      </w:r>
      <w:r w:rsidR="00AD412C">
        <w:t>:</w:t>
      </w:r>
      <w:r w:rsidR="00C57DBE">
        <w:t xml:space="preserve"> </w:t>
      </w:r>
      <w:r w:rsidR="00C55D10">
        <w:t>t</w:t>
      </w:r>
      <w:r w:rsidR="00C57DBE">
        <w:t xml:space="preserve">he NLoS channel model defines </w:t>
      </w:r>
      <w:r w:rsidR="0021334C">
        <w:t xml:space="preserve">random </w:t>
      </w:r>
      <w:r w:rsidR="00C57DBE">
        <w:t xml:space="preserve">angles for the first arrival path that are not aligned with the LoS direction between gNB and UE </w:t>
      </w:r>
      <w:r w:rsidR="00C57DBE">
        <w:fldChar w:fldCharType="begin"/>
      </w:r>
      <w:r w:rsidR="00C57DBE">
        <w:instrText xml:space="preserve"> REF _Ref528590481 \r \h </w:instrText>
      </w:r>
      <w:r w:rsidR="00C57DBE">
        <w:fldChar w:fldCharType="separate"/>
      </w:r>
      <w:r w:rsidR="00C57DBE">
        <w:t>[3]</w:t>
      </w:r>
      <w:r w:rsidR="00C57DBE">
        <w:fldChar w:fldCharType="end"/>
      </w:r>
      <w:r w:rsidR="00C57DBE">
        <w:t xml:space="preserve">. </w:t>
      </w:r>
      <w:r w:rsidR="00C55D10">
        <w:t xml:space="preserve">This implies that there is no relation between the angles of the first arrival path </w:t>
      </w:r>
      <w:r w:rsidR="0021334C">
        <w:t xml:space="preserve">and </w:t>
      </w:r>
      <w:r w:rsidR="00C55D10">
        <w:t>a single-bounce scatterer. Thus,</w:t>
      </w:r>
      <w:r w:rsidR="000E7A46">
        <w:t xml:space="preserve"> the estimation of the single-bounce scatterer cannot be exploited in</w:t>
      </w:r>
      <w:r w:rsidR="00C55D10">
        <w:t xml:space="preserve"> advanced angle-based positioning techniques, such as single-BS positioning</w:t>
      </w:r>
      <w:r w:rsidR="0021334C">
        <w:t xml:space="preserve"> proposed</w:t>
      </w:r>
      <w:r w:rsidR="00C55D10">
        <w:t xml:space="preserve"> in RAN1 </w:t>
      </w:r>
      <w:r w:rsidR="00C55D10">
        <w:fldChar w:fldCharType="begin"/>
      </w:r>
      <w:r w:rsidR="00C55D10">
        <w:instrText xml:space="preserve"> REF _Ref528590481 \r \h </w:instrText>
      </w:r>
      <w:r w:rsidR="00C55D10">
        <w:fldChar w:fldCharType="separate"/>
      </w:r>
      <w:r w:rsidR="00C55D10">
        <w:t>[3]</w:t>
      </w:r>
      <w:r w:rsidR="00C55D10">
        <w:fldChar w:fldCharType="end"/>
      </w:r>
      <w:r w:rsidR="00C55D10">
        <w:t>. In order to avoid this limitation, the addition of a semi-deterministic cluster to TR 38.901 is proposed in</w:t>
      </w:r>
      <w:r w:rsidR="00AD412C">
        <w:t xml:space="preserve"> </w:t>
      </w:r>
      <w:r w:rsidR="00AD412C">
        <w:fldChar w:fldCharType="begin"/>
      </w:r>
      <w:r w:rsidR="00AD412C">
        <w:instrText xml:space="preserve"> REF _Ref528830185 \r \h </w:instrText>
      </w:r>
      <w:r w:rsidR="00AD412C">
        <w:fldChar w:fldCharType="separate"/>
      </w:r>
      <w:r w:rsidR="00AD412C">
        <w:t>[10]</w:t>
      </w:r>
      <w:r w:rsidR="00AD412C">
        <w:fldChar w:fldCharType="end"/>
      </w:r>
      <w:r w:rsidR="00AD412C">
        <w:t xml:space="preserve">. </w:t>
      </w:r>
    </w:p>
    <w:p w:rsidR="00AD412C" w:rsidRDefault="00BA3A70" w:rsidP="007A5B02">
      <w:pPr>
        <w:numPr>
          <w:ilvl w:val="0"/>
          <w:numId w:val="26"/>
        </w:numPr>
        <w:spacing w:after="120"/>
        <w:jc w:val="both"/>
      </w:pPr>
      <w:r>
        <w:rPr>
          <w:b/>
        </w:rPr>
        <w:t xml:space="preserve">Absence of </w:t>
      </w:r>
      <w:r w:rsidR="00AD412C" w:rsidRPr="00435F67">
        <w:rPr>
          <w:b/>
        </w:rPr>
        <w:t xml:space="preserve">NLoS </w:t>
      </w:r>
      <w:r w:rsidR="00C57DBE" w:rsidRPr="00435F67">
        <w:rPr>
          <w:b/>
        </w:rPr>
        <w:t xml:space="preserve">ranging </w:t>
      </w:r>
      <w:r w:rsidR="00AD412C" w:rsidRPr="00435F67">
        <w:rPr>
          <w:b/>
        </w:rPr>
        <w:t>bias</w:t>
      </w:r>
      <w:r w:rsidR="00AD412C">
        <w:t>:</w:t>
      </w:r>
      <w:r w:rsidR="00C55D10">
        <w:t xml:space="preserve"> </w:t>
      </w:r>
      <w:r w:rsidR="009768FE">
        <w:t xml:space="preserve">the TR 38.901 channel models only consider the distance between transmitter and receiver in the evaluation of the probability of LoS, which defines the mean and standard deviation of the delay spread. However, the CIR does not consider the absolute propagation delay between the transmitter and the receiver </w:t>
      </w:r>
      <w:r w:rsidR="00AD412C">
        <w:fldChar w:fldCharType="begin"/>
      </w:r>
      <w:r w:rsidR="00AD412C">
        <w:instrText xml:space="preserve"> REF _Ref528830190 \r \h </w:instrText>
      </w:r>
      <w:r w:rsidR="00AD412C">
        <w:fldChar w:fldCharType="separate"/>
      </w:r>
      <w:r w:rsidR="00AD412C">
        <w:t>[11]</w:t>
      </w:r>
      <w:r w:rsidR="00AD412C">
        <w:fldChar w:fldCharType="end"/>
      </w:r>
      <w:r w:rsidR="00AD412C">
        <w:t>.</w:t>
      </w:r>
      <w:r w:rsidR="009768FE">
        <w:t xml:space="preserve"> Therefore, </w:t>
      </w:r>
      <w:r w:rsidR="009768FE" w:rsidRPr="00435F67">
        <w:rPr>
          <w:rFonts w:ascii="Times-Roman" w:hAnsi="Times-Roman" w:cs="Times-Roman"/>
          <w:lang w:eastAsia="en-GB"/>
        </w:rPr>
        <w:t xml:space="preserve">the delay offset of the first detectable propagation path is not related with </w:t>
      </w:r>
      <w:r w:rsidR="00435F67" w:rsidRPr="00435F67">
        <w:rPr>
          <w:rFonts w:ascii="Times-Roman" w:hAnsi="Times-Roman" w:cs="Times-Roman"/>
          <w:lang w:eastAsia="en-GB"/>
        </w:rPr>
        <w:t xml:space="preserve">the </w:t>
      </w:r>
      <w:r w:rsidR="009768FE" w:rsidRPr="00435F67">
        <w:rPr>
          <w:rFonts w:ascii="Times-Roman" w:hAnsi="Times-Roman" w:cs="Times-Roman"/>
          <w:lang w:eastAsia="en-GB"/>
        </w:rPr>
        <w:t xml:space="preserve">geometric LoS, resulting in a NLoS ranging bias. </w:t>
      </w:r>
      <w:r w:rsidR="00435F67" w:rsidRPr="00435F67">
        <w:rPr>
          <w:rFonts w:ascii="Times-Roman" w:hAnsi="Times-Roman" w:cs="Times-Roman"/>
          <w:lang w:eastAsia="en-GB"/>
        </w:rPr>
        <w:t>This NLoS ranging bias is expected to degrade the positioning performance of</w:t>
      </w:r>
      <w:r w:rsidR="009768FE" w:rsidRPr="00435F67">
        <w:rPr>
          <w:rFonts w:ascii="Times-Roman" w:hAnsi="Times-Roman" w:cs="Times-Roman"/>
          <w:lang w:eastAsia="en-GB"/>
        </w:rPr>
        <w:t xml:space="preserve"> </w:t>
      </w:r>
      <w:r w:rsidR="00435F67" w:rsidRPr="00435F67">
        <w:rPr>
          <w:rFonts w:ascii="Times-Roman" w:hAnsi="Times-Roman" w:cs="Times-Roman"/>
          <w:lang w:eastAsia="en-GB"/>
        </w:rPr>
        <w:t xml:space="preserve">ranging-based techniques (i.e., OTDoA and UTDoA). In </w:t>
      </w:r>
      <w:r w:rsidR="00435F67">
        <w:fldChar w:fldCharType="begin"/>
      </w:r>
      <w:r w:rsidR="00435F67">
        <w:instrText xml:space="preserve"> REF _Ref528830190 \r \h </w:instrText>
      </w:r>
      <w:r w:rsidR="00435F67">
        <w:fldChar w:fldCharType="separate"/>
      </w:r>
      <w:r w:rsidR="00435F67">
        <w:t>[11]</w:t>
      </w:r>
      <w:r w:rsidR="00435F67">
        <w:fldChar w:fldCharType="end"/>
      </w:r>
      <w:r w:rsidR="00435F67">
        <w:t xml:space="preserve">, a </w:t>
      </w:r>
      <w:r w:rsidR="00435F67" w:rsidRPr="00435F67">
        <w:t>geometric-stochastic channel model</w:t>
      </w:r>
      <w:r w:rsidR="00435F67">
        <w:t xml:space="preserve"> incorporating equivalent reflectors is proposed to consider the NLoS ranging bias and </w:t>
      </w:r>
      <w:r w:rsidR="00435F67" w:rsidRPr="00435F67">
        <w:t>the non-stationarity and temporal coherence</w:t>
      </w:r>
      <w:r w:rsidR="00435F67">
        <w:t xml:space="preserve"> of the channel conditions.</w:t>
      </w:r>
    </w:p>
    <w:p w:rsidR="00435F67" w:rsidRDefault="00435F67" w:rsidP="00435F67">
      <w:pPr>
        <w:spacing w:after="120"/>
        <w:jc w:val="both"/>
      </w:pPr>
      <w:r>
        <w:t xml:space="preserve">Since the scope of the NR positioning study item does not </w:t>
      </w:r>
      <w:r w:rsidR="00BA3A70">
        <w:t xml:space="preserve">include </w:t>
      </w:r>
      <w:r>
        <w:t xml:space="preserve">the definition of a channel model dedicated </w:t>
      </w:r>
      <w:r w:rsidR="00BA3A70">
        <w:t>for</w:t>
      </w:r>
      <w:r>
        <w:t xml:space="preserve"> positioning, the existing 3GPP channel models are agreed to be used in the evaluation methodology. Nonetheless, the previous aspects should be considered on the assessment of the RAT-dependent performance evaluation. </w:t>
      </w:r>
      <w:r w:rsidR="00BA3A70">
        <w:t>T</w:t>
      </w:r>
      <w:r>
        <w:t xml:space="preserve">he </w:t>
      </w:r>
      <w:r w:rsidR="000E7A46">
        <w:t xml:space="preserve">positioning results of </w:t>
      </w:r>
      <w:r>
        <w:t xml:space="preserve">ranging-based techniques are expected to be </w:t>
      </w:r>
      <w:r w:rsidR="000E7A46">
        <w:t>“optimistic”, due to the n</w:t>
      </w:r>
      <w:r w:rsidR="000E7A46" w:rsidRPr="000E7A46">
        <w:t>egligible close-in multipath in LoS</w:t>
      </w:r>
      <w:r w:rsidR="000E7A46">
        <w:t xml:space="preserve"> conditions and the absence of the NLoS ranging bias. </w:t>
      </w:r>
      <w:r w:rsidR="00D93E62">
        <w:t xml:space="preserve">This has an important impact on the definition of the positioning configurations and mechanisms, such as on the minimum PRS </w:t>
      </w:r>
      <w:r w:rsidR="00A12048">
        <w:t>bandwidth and periodicity</w:t>
      </w:r>
      <w:r w:rsidR="00D93E62">
        <w:t xml:space="preserve">, </w:t>
      </w:r>
      <w:r w:rsidR="005A2736">
        <w:t>that are necessary</w:t>
      </w:r>
      <w:r w:rsidR="0003023D">
        <w:t xml:space="preserve"> </w:t>
      </w:r>
      <w:r w:rsidR="005A2736">
        <w:t xml:space="preserve">to fulfil </w:t>
      </w:r>
      <w:r w:rsidR="00D93E62">
        <w:t xml:space="preserve">regulatory </w:t>
      </w:r>
      <w:r w:rsidR="0003023D">
        <w:t xml:space="preserve">and commercial </w:t>
      </w:r>
      <w:r w:rsidR="00D93E62">
        <w:t xml:space="preserve">requirements. </w:t>
      </w:r>
      <w:r w:rsidR="000E7A46">
        <w:t>As a result, RAT-independent and hybrid positioning techniques should be further assessed in this study item, in order to complement the expected performance degradation of RAT-dependent techniques in real scenarios.</w:t>
      </w:r>
      <w:r w:rsidR="00D93E62">
        <w:t xml:space="preserve"> </w:t>
      </w:r>
      <w:r w:rsidR="00BA3A70">
        <w:t>Furthermore</w:t>
      </w:r>
      <w:r w:rsidR="000E7A46">
        <w:t>, these channel models limit the adoption of advanced NR positioning techniques, because the a</w:t>
      </w:r>
      <w:r w:rsidR="000E7A46" w:rsidRPr="000E7A46">
        <w:t>ngle of first NLoS arrival path</w:t>
      </w:r>
      <w:r w:rsidR="000E7A46">
        <w:t xml:space="preserve"> cannot be exploited for positioning. </w:t>
      </w:r>
    </w:p>
    <w:p w:rsidR="00A12048" w:rsidRDefault="00BA3A70" w:rsidP="00BA3A70">
      <w:pPr>
        <w:spacing w:after="120"/>
        <w:jc w:val="both"/>
        <w:rPr>
          <w:b/>
        </w:rPr>
      </w:pPr>
      <w:r w:rsidRPr="00BE4C30">
        <w:rPr>
          <w:b/>
        </w:rPr>
        <w:t xml:space="preserve">Observation </w:t>
      </w:r>
      <w:r w:rsidR="00A60040">
        <w:rPr>
          <w:b/>
        </w:rPr>
        <w:t>5</w:t>
      </w:r>
      <w:r w:rsidRPr="00BE4C30">
        <w:rPr>
          <w:b/>
        </w:rPr>
        <w:t>:</w:t>
      </w:r>
      <w:r>
        <w:rPr>
          <w:b/>
        </w:rPr>
        <w:t xml:space="preserve"> The existing 3GPP channel models can be considered </w:t>
      </w:r>
      <w:r w:rsidRPr="00BA3A70">
        <w:rPr>
          <w:b/>
        </w:rPr>
        <w:t>not representative or suitable for positioning</w:t>
      </w:r>
      <w:r>
        <w:rPr>
          <w:b/>
        </w:rPr>
        <w:t>, due to the n</w:t>
      </w:r>
      <w:r w:rsidRPr="00BA3A70">
        <w:rPr>
          <w:b/>
        </w:rPr>
        <w:t>egligible close-in multipath in LoS</w:t>
      </w:r>
      <w:r>
        <w:rPr>
          <w:b/>
        </w:rPr>
        <w:t xml:space="preserve"> conditions, the random angle of the first NLoS arrival path, and the absence of the NLoS ranging bias.</w:t>
      </w:r>
    </w:p>
    <w:p w:rsidR="00BA3A70" w:rsidRDefault="00BA3A70" w:rsidP="00BA3A70">
      <w:pPr>
        <w:spacing w:after="120"/>
        <w:jc w:val="both"/>
        <w:rPr>
          <w:b/>
        </w:rPr>
      </w:pPr>
      <w:r w:rsidRPr="00BE4C30">
        <w:rPr>
          <w:b/>
        </w:rPr>
        <w:lastRenderedPageBreak/>
        <w:t xml:space="preserve">Observation </w:t>
      </w:r>
      <w:r w:rsidR="00A60040">
        <w:rPr>
          <w:b/>
        </w:rPr>
        <w:t>6</w:t>
      </w:r>
      <w:r w:rsidRPr="00BE4C30">
        <w:rPr>
          <w:b/>
        </w:rPr>
        <w:t>:</w:t>
      </w:r>
      <w:r>
        <w:rPr>
          <w:b/>
        </w:rPr>
        <w:t xml:space="preserve"> The use of the existing 3GPP channel models is expected to provide “optimistic” ranging-based positioning results, and to limit the adoption of </w:t>
      </w:r>
      <w:r w:rsidRPr="00BA3A70">
        <w:rPr>
          <w:b/>
        </w:rPr>
        <w:t>advanced NR positioning techniques</w:t>
      </w:r>
      <w:r>
        <w:rPr>
          <w:b/>
        </w:rPr>
        <w:t>.</w:t>
      </w:r>
      <w:r w:rsidR="00A12048">
        <w:rPr>
          <w:b/>
        </w:rPr>
        <w:t xml:space="preserve"> Th</w:t>
      </w:r>
      <w:r w:rsidR="00FC6334">
        <w:rPr>
          <w:b/>
        </w:rPr>
        <w:t xml:space="preserve">is should be especially considered on the evaluation of positioning results </w:t>
      </w:r>
      <w:r w:rsidR="005A2736">
        <w:rPr>
          <w:b/>
        </w:rPr>
        <w:t xml:space="preserve">to fulfil </w:t>
      </w:r>
      <w:r w:rsidR="00FC6334">
        <w:rPr>
          <w:b/>
        </w:rPr>
        <w:t xml:space="preserve">regulatory </w:t>
      </w:r>
      <w:r w:rsidR="005A2736">
        <w:rPr>
          <w:b/>
        </w:rPr>
        <w:t xml:space="preserve">and commercial </w:t>
      </w:r>
      <w:r w:rsidR="00FC6334">
        <w:rPr>
          <w:b/>
        </w:rPr>
        <w:t>requirements.</w:t>
      </w:r>
      <w:r w:rsidR="00A12048">
        <w:rPr>
          <w:b/>
        </w:rPr>
        <w:t xml:space="preserve"> </w:t>
      </w:r>
    </w:p>
    <w:p w:rsidR="007F5F26" w:rsidRDefault="00AA7D01" w:rsidP="00BA3A70">
      <w:pPr>
        <w:spacing w:after="120"/>
        <w:jc w:val="both"/>
        <w:rPr>
          <w:b/>
        </w:rPr>
      </w:pPr>
      <w:r>
        <w:rPr>
          <w:b/>
        </w:rPr>
        <w:t>Observation</w:t>
      </w:r>
      <w:r w:rsidR="00BA3A70">
        <w:rPr>
          <w:b/>
        </w:rPr>
        <w:t xml:space="preserve"> </w:t>
      </w:r>
      <w:r>
        <w:rPr>
          <w:b/>
        </w:rPr>
        <w:t>7</w:t>
      </w:r>
      <w:r w:rsidR="00BA3A70">
        <w:rPr>
          <w:b/>
        </w:rPr>
        <w:t xml:space="preserve">: </w:t>
      </w:r>
      <w:r w:rsidR="00BA3A70" w:rsidRPr="00BA3A70">
        <w:rPr>
          <w:b/>
        </w:rPr>
        <w:t>RAT-independent and hybrid positioning techniques</w:t>
      </w:r>
      <w:r w:rsidR="00BA3A70">
        <w:rPr>
          <w:b/>
        </w:rPr>
        <w:t xml:space="preserve"> should be further studied, in order to complement the expected performance degradation of </w:t>
      </w:r>
      <w:r w:rsidR="00BA3A70" w:rsidRPr="00BA3A70">
        <w:rPr>
          <w:b/>
        </w:rPr>
        <w:t>RAT-dependent techniques in real scenarios</w:t>
      </w:r>
      <w:r w:rsidR="00BA3A70">
        <w:rPr>
          <w:b/>
        </w:rPr>
        <w:t>.</w:t>
      </w:r>
    </w:p>
    <w:p w:rsidR="00AA7D01" w:rsidRDefault="00AA7D01" w:rsidP="00AA7D01">
      <w:pPr>
        <w:pStyle w:val="Proposal"/>
        <w:numPr>
          <w:ilvl w:val="0"/>
          <w:numId w:val="0"/>
        </w:numPr>
        <w:ind w:left="1304" w:hanging="1304"/>
        <w:rPr>
          <w:rFonts w:ascii="Times New Roman" w:hAnsi="Times New Roman" w:cs="Times New Roman"/>
          <w:sz w:val="20"/>
          <w:lang w:val="en-US"/>
        </w:rPr>
      </w:pPr>
      <w:bookmarkStart w:id="4" w:name="_Toc525940271"/>
      <w:bookmarkStart w:id="5" w:name="_Toc528847837"/>
      <w:r>
        <w:rPr>
          <w:rFonts w:ascii="Times New Roman" w:hAnsi="Times New Roman" w:cs="Times New Roman"/>
          <w:sz w:val="20"/>
        </w:rPr>
        <w:t xml:space="preserve">Proposal 3:    </w:t>
      </w:r>
      <w:r w:rsidRPr="00AA7D01">
        <w:rPr>
          <w:rFonts w:ascii="Times New Roman" w:hAnsi="Times New Roman" w:cs="Times New Roman"/>
          <w:sz w:val="20"/>
          <w:lang w:val="en-US"/>
        </w:rPr>
        <w:t>R</w:t>
      </w:r>
      <w:r>
        <w:rPr>
          <w:rFonts w:ascii="Times New Roman" w:hAnsi="Times New Roman" w:cs="Times New Roman"/>
          <w:sz w:val="20"/>
          <w:lang w:val="en-US"/>
        </w:rPr>
        <w:t>AN1 shall send an LS to RAN2</w:t>
      </w:r>
      <w:r w:rsidRPr="00AA7D01">
        <w:rPr>
          <w:rFonts w:ascii="Times New Roman" w:hAnsi="Times New Roman" w:cs="Times New Roman"/>
          <w:sz w:val="20"/>
          <w:lang w:val="en-US"/>
        </w:rPr>
        <w:t xml:space="preserve"> </w:t>
      </w:r>
      <w:r>
        <w:rPr>
          <w:rFonts w:ascii="Times New Roman" w:hAnsi="Times New Roman" w:cs="Times New Roman"/>
          <w:sz w:val="20"/>
          <w:lang w:val="en-US"/>
        </w:rPr>
        <w:t xml:space="preserve">and SA2 </w:t>
      </w:r>
      <w:r w:rsidRPr="00AA7D01">
        <w:rPr>
          <w:rFonts w:ascii="Times New Roman" w:hAnsi="Times New Roman" w:cs="Times New Roman"/>
          <w:sz w:val="20"/>
          <w:lang w:val="en-US"/>
        </w:rPr>
        <w:t>about requesting their view on the</w:t>
      </w:r>
      <w:r>
        <w:rPr>
          <w:rFonts w:ascii="Times New Roman" w:hAnsi="Times New Roman" w:cs="Times New Roman"/>
          <w:sz w:val="20"/>
          <w:lang w:val="en-US"/>
        </w:rPr>
        <w:t xml:space="preserve"> inclusion of RAT-independent and hybrid positioning techniques in the positioning</w:t>
      </w:r>
      <w:r w:rsidRPr="00AA7D01">
        <w:rPr>
          <w:rFonts w:ascii="Times New Roman" w:hAnsi="Times New Roman" w:cs="Times New Roman"/>
          <w:sz w:val="20"/>
          <w:lang w:val="en-US"/>
        </w:rPr>
        <w:t xml:space="preserve"> protocol between LMF and the SA Rel.16 NR UE.</w:t>
      </w:r>
      <w:bookmarkEnd w:id="4"/>
      <w:bookmarkEnd w:id="5"/>
    </w:p>
    <w:p w:rsidR="00AA7D01" w:rsidRPr="00AA7D01" w:rsidRDefault="00AA7D01" w:rsidP="00AA7D01">
      <w:pPr>
        <w:pStyle w:val="Proposal"/>
        <w:numPr>
          <w:ilvl w:val="0"/>
          <w:numId w:val="0"/>
        </w:numPr>
        <w:ind w:left="1304" w:hanging="1304"/>
        <w:rPr>
          <w:rFonts w:ascii="Times New Roman" w:hAnsi="Times New Roman" w:cs="Times New Roman"/>
          <w:sz w:val="20"/>
          <w:lang w:val="en-US"/>
        </w:rPr>
      </w:pPr>
    </w:p>
    <w:p w:rsidR="005D20F1" w:rsidRDefault="005D20F1" w:rsidP="005D20F1">
      <w:pPr>
        <w:spacing w:after="120"/>
        <w:rPr>
          <w:rFonts w:ascii="Arial" w:hAnsi="Arial" w:cs="Arial"/>
          <w:b/>
        </w:rPr>
      </w:pPr>
      <w:r>
        <w:rPr>
          <w:rFonts w:ascii="Arial" w:hAnsi="Arial" w:cs="Arial"/>
          <w:b/>
        </w:rPr>
        <w:t>3. Conclusion</w:t>
      </w:r>
    </w:p>
    <w:p w:rsidR="00BA3A70" w:rsidRDefault="0021334C" w:rsidP="007F5F26">
      <w:pPr>
        <w:spacing w:after="120"/>
        <w:jc w:val="both"/>
      </w:pPr>
      <w:r>
        <w:t xml:space="preserve">This contribution has </w:t>
      </w:r>
      <w:r w:rsidR="007F5F26">
        <w:t>presented</w:t>
      </w:r>
      <w:r>
        <w:t xml:space="preserve"> main </w:t>
      </w:r>
      <w:r w:rsidR="007F5F26">
        <w:t xml:space="preserve">aspects to be considered with </w:t>
      </w:r>
      <w:r>
        <w:t xml:space="preserve">the </w:t>
      </w:r>
      <w:r w:rsidR="007F5F26">
        <w:t xml:space="preserve">agreed </w:t>
      </w:r>
      <w:r w:rsidRPr="0021334C">
        <w:t>RAT-dependent evaluation methodology</w:t>
      </w:r>
      <w:r w:rsidR="007F5F26">
        <w:t>. This methodology may lead in some cases to positioning results that are too “optimistic” with respect to the expected positioning performance in real scenarios</w:t>
      </w:r>
      <w:r w:rsidR="00496079">
        <w:t xml:space="preserve">, which is especially critical for the evaluation of UMa-only positioning results to fulfil </w:t>
      </w:r>
      <w:r w:rsidR="00FC6334" w:rsidRPr="00FC6334">
        <w:t>E911 regulatory requirements</w:t>
      </w:r>
      <w:r w:rsidR="00FC6334">
        <w:t xml:space="preserve">. </w:t>
      </w:r>
      <w:r w:rsidR="007F5F26">
        <w:t>Thus, RAT-independent and hybrid positioning methods should be further studied in order to fulfil the regulatory and commercial requirements in real deployments. This document presents the following observations and contributions:</w:t>
      </w:r>
    </w:p>
    <w:p w:rsidR="00BA3A70" w:rsidRDefault="00BA3A70" w:rsidP="00BA3A70">
      <w:pPr>
        <w:spacing w:after="120"/>
        <w:jc w:val="both"/>
        <w:rPr>
          <w:b/>
        </w:rPr>
      </w:pPr>
      <w:r w:rsidRPr="00BE4C30">
        <w:rPr>
          <w:b/>
        </w:rPr>
        <w:t>Observation 1:</w:t>
      </w:r>
      <w:r>
        <w:rPr>
          <w:b/>
        </w:rPr>
        <w:t xml:space="preserve"> RAT-dependent evaluation methodology provides optimistic performance results if the network is not optimized for positioning.</w:t>
      </w:r>
    </w:p>
    <w:p w:rsidR="00BA3A70" w:rsidRDefault="00BA3A70" w:rsidP="00BA3A70">
      <w:pPr>
        <w:spacing w:after="120"/>
        <w:jc w:val="both"/>
        <w:rPr>
          <w:b/>
        </w:rPr>
      </w:pPr>
      <w:r w:rsidRPr="00BE4C30">
        <w:rPr>
          <w:b/>
        </w:rPr>
        <w:t xml:space="preserve">Observation </w:t>
      </w:r>
      <w:r>
        <w:rPr>
          <w:b/>
        </w:rPr>
        <w:t>2</w:t>
      </w:r>
      <w:r w:rsidRPr="00BE4C30">
        <w:rPr>
          <w:b/>
        </w:rPr>
        <w:t>:</w:t>
      </w:r>
      <w:r>
        <w:rPr>
          <w:b/>
        </w:rPr>
        <w:t xml:space="preserve"> Non-optimized networks may not achieve </w:t>
      </w:r>
      <w:r w:rsidR="005F442D" w:rsidRPr="00451F31">
        <w:rPr>
          <w:b/>
        </w:rPr>
        <w:t xml:space="preserve">regulatory and commercial </w:t>
      </w:r>
      <w:r>
        <w:rPr>
          <w:b/>
        </w:rPr>
        <w:t>positioning requirements with RAT-dependent techniques in real scenarios.</w:t>
      </w:r>
    </w:p>
    <w:p w:rsidR="00BA3A70" w:rsidRDefault="00A60040" w:rsidP="00BA3A70">
      <w:pPr>
        <w:spacing w:after="120"/>
        <w:jc w:val="both"/>
        <w:rPr>
          <w:b/>
        </w:rPr>
      </w:pPr>
      <w:r>
        <w:rPr>
          <w:b/>
        </w:rPr>
        <w:t>Observation 3</w:t>
      </w:r>
      <w:r w:rsidR="00BA3A70">
        <w:rPr>
          <w:b/>
        </w:rPr>
        <w:t>: RAT-dependent positioning techniques should be complemented with RAT-independent and hybrid positioning techniques,</w:t>
      </w:r>
      <w:r w:rsidR="00BA3A70" w:rsidRPr="00451F31">
        <w:t xml:space="preserve"> </w:t>
      </w:r>
      <w:r w:rsidR="00BA3A70">
        <w:rPr>
          <w:b/>
        </w:rPr>
        <w:t>in order</w:t>
      </w:r>
      <w:r w:rsidR="00BA3A70" w:rsidRPr="00451F31">
        <w:rPr>
          <w:b/>
        </w:rPr>
        <w:t xml:space="preserve"> to ensure fulfilment of regulatory and commercial positioning requirements.</w:t>
      </w:r>
    </w:p>
    <w:p w:rsidR="00BA3A70" w:rsidRDefault="00BA3A70" w:rsidP="00BA3A70">
      <w:pPr>
        <w:spacing w:after="120"/>
        <w:jc w:val="both"/>
        <w:rPr>
          <w:b/>
        </w:rPr>
      </w:pPr>
      <w:r w:rsidRPr="00BE4C30">
        <w:rPr>
          <w:b/>
        </w:rPr>
        <w:t xml:space="preserve">Observation </w:t>
      </w:r>
      <w:r w:rsidR="00A60040">
        <w:rPr>
          <w:b/>
        </w:rPr>
        <w:t>4</w:t>
      </w:r>
      <w:r w:rsidRPr="00BE4C30">
        <w:rPr>
          <w:b/>
        </w:rPr>
        <w:t>:</w:t>
      </w:r>
      <w:r>
        <w:rPr>
          <w:b/>
        </w:rPr>
        <w:t xml:space="preserve"> </w:t>
      </w:r>
      <w:r w:rsidR="005747A9" w:rsidRPr="005747A9">
        <w:rPr>
          <w:b/>
        </w:rPr>
        <w:t>The UE drop horizontal area and the network density determine the expected availability of high-accuracy positioning within the evaluation results.</w:t>
      </w:r>
    </w:p>
    <w:p w:rsidR="00A60040" w:rsidRDefault="00A60040" w:rsidP="00A60040">
      <w:pPr>
        <w:spacing w:after="120"/>
        <w:jc w:val="both"/>
        <w:rPr>
          <w:b/>
        </w:rPr>
      </w:pPr>
      <w:r w:rsidRPr="00BE4C30">
        <w:rPr>
          <w:b/>
        </w:rPr>
        <w:t xml:space="preserve">Observation </w:t>
      </w:r>
      <w:r>
        <w:rPr>
          <w:b/>
        </w:rPr>
        <w:t>5</w:t>
      </w:r>
      <w:r w:rsidRPr="00BE4C30">
        <w:rPr>
          <w:b/>
        </w:rPr>
        <w:t>:</w:t>
      </w:r>
      <w:r>
        <w:rPr>
          <w:b/>
        </w:rPr>
        <w:t xml:space="preserve"> The existing 3GPP channel models can be considered </w:t>
      </w:r>
      <w:r w:rsidRPr="00BA3A70">
        <w:rPr>
          <w:b/>
        </w:rPr>
        <w:t>not representative or suitable for positioning</w:t>
      </w:r>
      <w:r>
        <w:rPr>
          <w:b/>
        </w:rPr>
        <w:t>, due to the n</w:t>
      </w:r>
      <w:r w:rsidRPr="00BA3A70">
        <w:rPr>
          <w:b/>
        </w:rPr>
        <w:t>egligible close-in multipath in LoS</w:t>
      </w:r>
      <w:r>
        <w:rPr>
          <w:b/>
        </w:rPr>
        <w:t xml:space="preserve"> conditions, the random angle of the first NLoS arrival path, and the absence of the NLoS ranging bias.</w:t>
      </w:r>
    </w:p>
    <w:p w:rsidR="00A60040" w:rsidRDefault="00A60040" w:rsidP="00A60040">
      <w:pPr>
        <w:spacing w:after="120"/>
        <w:jc w:val="both"/>
        <w:rPr>
          <w:b/>
        </w:rPr>
      </w:pPr>
      <w:r w:rsidRPr="00BE4C30">
        <w:rPr>
          <w:b/>
        </w:rPr>
        <w:t xml:space="preserve">Observation </w:t>
      </w:r>
      <w:r>
        <w:rPr>
          <w:b/>
        </w:rPr>
        <w:t>6</w:t>
      </w:r>
      <w:r w:rsidRPr="00BE4C30">
        <w:rPr>
          <w:b/>
        </w:rPr>
        <w:t>:</w:t>
      </w:r>
      <w:r>
        <w:rPr>
          <w:b/>
        </w:rPr>
        <w:t xml:space="preserve"> The use of the existing 3GPP channel models is expected to provide “optimistic” ranging-based positioning results, and to limit the adoption of </w:t>
      </w:r>
      <w:r w:rsidRPr="00BA3A70">
        <w:rPr>
          <w:b/>
        </w:rPr>
        <w:t>advanced NR positioning techniques</w:t>
      </w:r>
      <w:r>
        <w:rPr>
          <w:b/>
        </w:rPr>
        <w:t>. This should be especially considered on the evaluation of positioning results to fulfil regulatory and commercial requirements.</w:t>
      </w:r>
    </w:p>
    <w:p w:rsidR="00AA7D01" w:rsidRDefault="00AA7D01" w:rsidP="00AA7D01">
      <w:pPr>
        <w:spacing w:after="120"/>
        <w:jc w:val="both"/>
        <w:rPr>
          <w:b/>
        </w:rPr>
      </w:pPr>
      <w:r>
        <w:rPr>
          <w:b/>
        </w:rPr>
        <w:t xml:space="preserve">Observation 7: </w:t>
      </w:r>
      <w:r w:rsidRPr="00BA3A70">
        <w:rPr>
          <w:b/>
        </w:rPr>
        <w:t>RAT-independent and hybrid positioning techniques</w:t>
      </w:r>
      <w:r>
        <w:rPr>
          <w:b/>
        </w:rPr>
        <w:t xml:space="preserve"> should be further studied, in order to complement the expected performance degradation of </w:t>
      </w:r>
      <w:r w:rsidRPr="00BA3A70">
        <w:rPr>
          <w:b/>
        </w:rPr>
        <w:t>RAT-dependent techniques in real scenarios</w:t>
      </w:r>
      <w:r>
        <w:rPr>
          <w:b/>
        </w:rPr>
        <w:t>.</w:t>
      </w:r>
    </w:p>
    <w:p w:rsidR="00A60040" w:rsidRDefault="00A60040" w:rsidP="00A60040">
      <w:pPr>
        <w:spacing w:after="120"/>
        <w:jc w:val="both"/>
        <w:rPr>
          <w:b/>
        </w:rPr>
      </w:pPr>
    </w:p>
    <w:p w:rsidR="00A60040" w:rsidRDefault="00A60040" w:rsidP="00BA3A70">
      <w:pPr>
        <w:spacing w:after="120"/>
        <w:jc w:val="both"/>
        <w:rPr>
          <w:b/>
        </w:rPr>
      </w:pPr>
      <w:r>
        <w:rPr>
          <w:b/>
        </w:rPr>
        <w:t xml:space="preserve">Proposal 1: The evaluation scenarios should distinguish between conventional and optimized networks, in order to assess the expected performance of RAT-dependent positioning technologies in real scenarios. This should be especially considered to fulfil E911 regulatory requirements with </w:t>
      </w:r>
      <w:r w:rsidRPr="007748CF">
        <w:rPr>
          <w:b/>
        </w:rPr>
        <w:t>UMa-only deployments</w:t>
      </w:r>
      <w:r>
        <w:rPr>
          <w:b/>
        </w:rPr>
        <w:t>.</w:t>
      </w:r>
    </w:p>
    <w:p w:rsidR="00BA3A70" w:rsidRDefault="00A60040" w:rsidP="00BA3A70">
      <w:pPr>
        <w:spacing w:after="120"/>
        <w:jc w:val="both"/>
        <w:rPr>
          <w:b/>
        </w:rPr>
      </w:pPr>
      <w:r>
        <w:rPr>
          <w:b/>
        </w:rPr>
        <w:t>Proposal 2</w:t>
      </w:r>
      <w:r w:rsidR="00BA3A70">
        <w:rPr>
          <w:b/>
        </w:rPr>
        <w:t>: The evaluation methodology should define the UE drop horizontal area according to the positioning service area, i.e., nominal positioning service area and enhanced positioning service area.</w:t>
      </w:r>
      <w:r w:rsidR="00496079">
        <w:rPr>
          <w:b/>
        </w:rPr>
        <w:t xml:space="preserve"> For the nominal positioning service area, the definition of the horizontal area is especially relevant to fulfil E911 regulatory requirements.</w:t>
      </w:r>
    </w:p>
    <w:p w:rsidR="00AA7D01" w:rsidRDefault="00AA7D01" w:rsidP="00AA7D01">
      <w:pPr>
        <w:pStyle w:val="Proposal"/>
        <w:numPr>
          <w:ilvl w:val="0"/>
          <w:numId w:val="0"/>
        </w:numPr>
        <w:ind w:left="1304" w:hanging="1304"/>
        <w:rPr>
          <w:rFonts w:ascii="Times New Roman" w:hAnsi="Times New Roman" w:cs="Times New Roman"/>
          <w:sz w:val="20"/>
          <w:lang w:val="en-US"/>
        </w:rPr>
      </w:pPr>
      <w:r>
        <w:rPr>
          <w:rFonts w:ascii="Times New Roman" w:hAnsi="Times New Roman" w:cs="Times New Roman"/>
          <w:sz w:val="20"/>
        </w:rPr>
        <w:t xml:space="preserve">Proposal 3:    </w:t>
      </w:r>
      <w:r w:rsidRPr="00AA7D01">
        <w:rPr>
          <w:rFonts w:ascii="Times New Roman" w:hAnsi="Times New Roman" w:cs="Times New Roman"/>
          <w:sz w:val="20"/>
          <w:lang w:val="en-US"/>
        </w:rPr>
        <w:t>R</w:t>
      </w:r>
      <w:r>
        <w:rPr>
          <w:rFonts w:ascii="Times New Roman" w:hAnsi="Times New Roman" w:cs="Times New Roman"/>
          <w:sz w:val="20"/>
          <w:lang w:val="en-US"/>
        </w:rPr>
        <w:t>AN1 shall send an LS to RAN2</w:t>
      </w:r>
      <w:r w:rsidRPr="00AA7D01">
        <w:rPr>
          <w:rFonts w:ascii="Times New Roman" w:hAnsi="Times New Roman" w:cs="Times New Roman"/>
          <w:sz w:val="20"/>
          <w:lang w:val="en-US"/>
        </w:rPr>
        <w:t xml:space="preserve"> </w:t>
      </w:r>
      <w:r>
        <w:rPr>
          <w:rFonts w:ascii="Times New Roman" w:hAnsi="Times New Roman" w:cs="Times New Roman"/>
          <w:sz w:val="20"/>
          <w:lang w:val="en-US"/>
        </w:rPr>
        <w:t xml:space="preserve">and SA2 </w:t>
      </w:r>
      <w:r w:rsidRPr="00AA7D01">
        <w:rPr>
          <w:rFonts w:ascii="Times New Roman" w:hAnsi="Times New Roman" w:cs="Times New Roman"/>
          <w:sz w:val="20"/>
          <w:lang w:val="en-US"/>
        </w:rPr>
        <w:t>about requesting their view on the</w:t>
      </w:r>
      <w:r>
        <w:rPr>
          <w:rFonts w:ascii="Times New Roman" w:hAnsi="Times New Roman" w:cs="Times New Roman"/>
          <w:sz w:val="20"/>
          <w:lang w:val="en-US"/>
        </w:rPr>
        <w:t xml:space="preserve"> inclusion of RAT-independent and hybrid positioning techniques in the positioning</w:t>
      </w:r>
      <w:r w:rsidRPr="00AA7D01">
        <w:rPr>
          <w:rFonts w:ascii="Times New Roman" w:hAnsi="Times New Roman" w:cs="Times New Roman"/>
          <w:sz w:val="20"/>
          <w:lang w:val="en-US"/>
        </w:rPr>
        <w:t xml:space="preserve"> protocol between LMF and the SA Rel.16 NR UE.</w:t>
      </w:r>
    </w:p>
    <w:p w:rsidR="00AA7D01" w:rsidRPr="00AA7D01" w:rsidRDefault="00AA7D01" w:rsidP="00BA3A70">
      <w:pPr>
        <w:spacing w:after="120"/>
        <w:jc w:val="both"/>
        <w:rPr>
          <w:b/>
          <w:lang w:val="en-US"/>
        </w:rPr>
      </w:pPr>
    </w:p>
    <w:p w:rsidR="00AA7D01" w:rsidRPr="00AA7D01" w:rsidRDefault="00AA7D01" w:rsidP="00BA3A70">
      <w:pPr>
        <w:spacing w:after="120"/>
        <w:jc w:val="both"/>
        <w:rPr>
          <w:b/>
          <w:lang w:val="en-US"/>
        </w:rPr>
      </w:pPr>
    </w:p>
    <w:p w:rsidR="00A60040" w:rsidRPr="00BA3A70" w:rsidRDefault="00A60040" w:rsidP="00BA3A70">
      <w:pPr>
        <w:spacing w:after="120"/>
        <w:jc w:val="both"/>
        <w:rPr>
          <w:b/>
        </w:rPr>
      </w:pPr>
    </w:p>
    <w:p w:rsidR="005D20F1" w:rsidRDefault="005D20F1" w:rsidP="005D20F1">
      <w:pPr>
        <w:spacing w:after="120"/>
        <w:rPr>
          <w:rFonts w:ascii="Arial" w:hAnsi="Arial" w:cs="Arial"/>
          <w:b/>
        </w:rPr>
      </w:pPr>
      <w:r>
        <w:rPr>
          <w:rFonts w:ascii="Arial" w:hAnsi="Arial" w:cs="Arial"/>
          <w:b/>
        </w:rPr>
        <w:t>4. References</w:t>
      </w:r>
    </w:p>
    <w:p w:rsidR="00313607" w:rsidRPr="002A21A4" w:rsidRDefault="00261606" w:rsidP="002A21A4">
      <w:pPr>
        <w:numPr>
          <w:ilvl w:val="0"/>
          <w:numId w:val="19"/>
        </w:numPr>
        <w:spacing w:after="120"/>
        <w:jc w:val="both"/>
      </w:pPr>
      <w:bookmarkStart w:id="6" w:name="_Ref528570347"/>
      <w:r w:rsidRPr="002A21A4">
        <w:t>RP-181399, "New SID: Study on NR positioning support", Intel Corporation, Ericsson, RAN#80, June 2018.</w:t>
      </w:r>
      <w:bookmarkEnd w:id="6"/>
    </w:p>
    <w:p w:rsidR="00261606" w:rsidRPr="002A21A4" w:rsidRDefault="00261606" w:rsidP="002A21A4">
      <w:pPr>
        <w:numPr>
          <w:ilvl w:val="0"/>
          <w:numId w:val="19"/>
        </w:numPr>
        <w:spacing w:after="120"/>
        <w:jc w:val="both"/>
      </w:pPr>
      <w:bookmarkStart w:id="7" w:name="_Ref528570358"/>
      <w:r w:rsidRPr="002A21A4">
        <w:t xml:space="preserve">RP-182155, “Revised SID: Study on NR positioning support”, Intel Corporation, RAN#81, </w:t>
      </w:r>
      <w:r w:rsidR="007E07F3" w:rsidRPr="002A21A4">
        <w:t>Sep.</w:t>
      </w:r>
      <w:r w:rsidRPr="002A21A4">
        <w:t xml:space="preserve"> 2018.</w:t>
      </w:r>
      <w:bookmarkEnd w:id="7"/>
    </w:p>
    <w:p w:rsidR="00261606" w:rsidRDefault="002A21A4" w:rsidP="002A21A4">
      <w:pPr>
        <w:numPr>
          <w:ilvl w:val="0"/>
          <w:numId w:val="19"/>
        </w:numPr>
        <w:spacing w:after="120"/>
        <w:jc w:val="both"/>
      </w:pPr>
      <w:bookmarkStart w:id="8" w:name="_Ref528590481"/>
      <w:r w:rsidRPr="002A21A4">
        <w:t>R1-1811987</w:t>
      </w:r>
      <w:r>
        <w:t>, “</w:t>
      </w:r>
      <w:r w:rsidRPr="002A21A4">
        <w:t>Chairman's Notes of AI 7.2.10 Study on NR positioning support</w:t>
      </w:r>
      <w:r>
        <w:t xml:space="preserve">”, </w:t>
      </w:r>
      <w:r w:rsidRPr="002A21A4">
        <w:t>Ad-Hoc chair (Ericsson)</w:t>
      </w:r>
      <w:r>
        <w:t>, RAN#94bis, Oct. 2018.</w:t>
      </w:r>
      <w:bookmarkEnd w:id="8"/>
    </w:p>
    <w:p w:rsidR="009B6C31" w:rsidRDefault="009B6C31" w:rsidP="009B6C31">
      <w:pPr>
        <w:numPr>
          <w:ilvl w:val="0"/>
          <w:numId w:val="19"/>
        </w:numPr>
        <w:spacing w:after="120"/>
        <w:jc w:val="both"/>
      </w:pPr>
      <w:bookmarkStart w:id="9" w:name="_Ref528592376"/>
      <w:bookmarkStart w:id="10" w:name="_Ref528592375"/>
      <w:r w:rsidRPr="007C5D77">
        <w:t xml:space="preserve">3GPP TR </w:t>
      </w:r>
      <w:r>
        <w:t>38.901, “Study on channel model for frequencies from 0.5 to 100 GHz,” Release 14, V14.3.0, Jan. 2018.</w:t>
      </w:r>
      <w:bookmarkEnd w:id="9"/>
    </w:p>
    <w:p w:rsidR="007C5D77" w:rsidRDefault="007C5D77" w:rsidP="007C5D77">
      <w:pPr>
        <w:numPr>
          <w:ilvl w:val="0"/>
          <w:numId w:val="19"/>
        </w:numPr>
        <w:spacing w:after="120"/>
        <w:jc w:val="both"/>
      </w:pPr>
      <w:r w:rsidRPr="007C5D77">
        <w:lastRenderedPageBreak/>
        <w:t xml:space="preserve">3GPP TR </w:t>
      </w:r>
      <w:r>
        <w:t>38.802, “</w:t>
      </w:r>
      <w:r w:rsidRPr="007C5D77">
        <w:t xml:space="preserve">Study on new radio access technology </w:t>
      </w:r>
      <w:r>
        <w:t>p</w:t>
      </w:r>
      <w:r w:rsidRPr="007C5D77">
        <w:t>hysical layer aspects</w:t>
      </w:r>
      <w:r>
        <w:t>,” Release 14, V14.2.0, Sep. 2017.</w:t>
      </w:r>
      <w:bookmarkEnd w:id="10"/>
    </w:p>
    <w:p w:rsidR="009B6C31" w:rsidRPr="007C5D77" w:rsidRDefault="009B6C31" w:rsidP="009B6C31">
      <w:pPr>
        <w:numPr>
          <w:ilvl w:val="0"/>
          <w:numId w:val="19"/>
        </w:numPr>
        <w:spacing w:after="120"/>
        <w:jc w:val="both"/>
      </w:pPr>
      <w:bookmarkStart w:id="11" w:name="_Ref528592374"/>
      <w:r w:rsidRPr="007C5D77">
        <w:t>3GPP TR 37.857, “Study on indoor positioning enhancements</w:t>
      </w:r>
      <w:r>
        <w:t>,</w:t>
      </w:r>
      <w:r w:rsidRPr="007C5D77">
        <w:t>”</w:t>
      </w:r>
      <w:r>
        <w:t xml:space="preserve"> Release 13, </w:t>
      </w:r>
      <w:r w:rsidRPr="007C5D77">
        <w:t>V13.1.0</w:t>
      </w:r>
      <w:r>
        <w:t>, Jan. 2016.</w:t>
      </w:r>
      <w:bookmarkEnd w:id="11"/>
    </w:p>
    <w:p w:rsidR="009B6C31" w:rsidRDefault="00587C39" w:rsidP="002A21A4">
      <w:pPr>
        <w:numPr>
          <w:ilvl w:val="0"/>
          <w:numId w:val="19"/>
        </w:numPr>
        <w:spacing w:after="120"/>
        <w:jc w:val="both"/>
      </w:pPr>
      <w:bookmarkStart w:id="12" w:name="_Ref528668262"/>
      <w:r w:rsidRPr="00587C39">
        <w:t>J. A. del Peral-Rosado, R. Raulefs, J. A. López-Salcedo, and G. Seco-Granados, “Survey of cellular mobile radio localization methods: From 1G to 5G,” IEEE Commun. Surveys Tuts., vol. 20, no. 2, pp. 1124-1148, 2nd Quart., 2018.</w:t>
      </w:r>
      <w:bookmarkEnd w:id="12"/>
    </w:p>
    <w:p w:rsidR="007C5D77" w:rsidRDefault="007D716C" w:rsidP="002A21A4">
      <w:pPr>
        <w:numPr>
          <w:ilvl w:val="0"/>
          <w:numId w:val="19"/>
        </w:numPr>
        <w:spacing w:after="120"/>
        <w:jc w:val="both"/>
      </w:pPr>
      <w:bookmarkStart w:id="13" w:name="_Ref528736726"/>
      <w:r w:rsidRPr="007D716C">
        <w:t>R1-1811464</w:t>
      </w:r>
      <w:r>
        <w:t>, “</w:t>
      </w:r>
      <w:r w:rsidRPr="007D716C">
        <w:t>NR positioning requirements for commercial use cases</w:t>
      </w:r>
      <w:r>
        <w:t xml:space="preserve">,” </w:t>
      </w:r>
      <w:r w:rsidRPr="007D716C">
        <w:t>Fraunhofer IIS, Deutsche Telekom, ESA</w:t>
      </w:r>
      <w:r>
        <w:t>, RAN</w:t>
      </w:r>
      <w:r w:rsidR="00690B5F">
        <w:t>1</w:t>
      </w:r>
      <w:r>
        <w:t>#94bis, Oct. 2018.</w:t>
      </w:r>
      <w:bookmarkEnd w:id="13"/>
    </w:p>
    <w:p w:rsidR="003C0D61" w:rsidRDefault="003C0D61" w:rsidP="002A21A4">
      <w:pPr>
        <w:numPr>
          <w:ilvl w:val="0"/>
          <w:numId w:val="19"/>
        </w:numPr>
        <w:spacing w:after="120"/>
        <w:jc w:val="both"/>
      </w:pPr>
      <w:bookmarkStart w:id="14" w:name="_Ref528820397"/>
      <w:r w:rsidRPr="003C0D61">
        <w:t>R1-1811465</w:t>
      </w:r>
      <w:r>
        <w:t>, “</w:t>
      </w:r>
      <w:r w:rsidRPr="003C0D61">
        <w:t>Evaluation scenarios and methodologies for NR positioning</w:t>
      </w:r>
      <w:r>
        <w:t xml:space="preserve">,” </w:t>
      </w:r>
      <w:r w:rsidRPr="007D716C">
        <w:t>Fraunhofer IIS</w:t>
      </w:r>
      <w:r>
        <w:t>, RAN</w:t>
      </w:r>
      <w:r w:rsidR="00690B5F">
        <w:t>1</w:t>
      </w:r>
      <w:r>
        <w:t>#94bis, Oct. 2018.</w:t>
      </w:r>
      <w:bookmarkEnd w:id="14"/>
    </w:p>
    <w:p w:rsidR="00690B5F" w:rsidRDefault="00690B5F" w:rsidP="007A5B02">
      <w:pPr>
        <w:numPr>
          <w:ilvl w:val="0"/>
          <w:numId w:val="19"/>
        </w:numPr>
        <w:spacing w:after="120"/>
        <w:jc w:val="both"/>
      </w:pPr>
      <w:bookmarkStart w:id="15" w:name="_Ref528830185"/>
      <w:r w:rsidRPr="00690B5F">
        <w:t>R1-1811466</w:t>
      </w:r>
      <w:r>
        <w:t>, “</w:t>
      </w:r>
      <w:r w:rsidRPr="00690B5F">
        <w:t>Channel Model Considerations for NR Positioning</w:t>
      </w:r>
      <w:r>
        <w:t xml:space="preserve">,” </w:t>
      </w:r>
      <w:r w:rsidRPr="007D716C">
        <w:t>Fraunhofer IIS</w:t>
      </w:r>
      <w:r>
        <w:t>, RAN1#94bis, Oct. 2018.</w:t>
      </w:r>
      <w:bookmarkEnd w:id="15"/>
    </w:p>
    <w:p w:rsidR="00A12048" w:rsidRPr="005D20F1" w:rsidRDefault="00690B5F">
      <w:pPr>
        <w:numPr>
          <w:ilvl w:val="0"/>
          <w:numId w:val="19"/>
        </w:numPr>
        <w:spacing w:after="120"/>
        <w:jc w:val="both"/>
      </w:pPr>
      <w:bookmarkStart w:id="16" w:name="_Ref528830190"/>
      <w:r w:rsidRPr="00690B5F">
        <w:t>W</w:t>
      </w:r>
      <w:r>
        <w:t>.</w:t>
      </w:r>
      <w:r w:rsidRPr="00690B5F">
        <w:t xml:space="preserve"> Wang, T</w:t>
      </w:r>
      <w:r>
        <w:t>.</w:t>
      </w:r>
      <w:r w:rsidRPr="00690B5F">
        <w:t xml:space="preserve"> Jost, A</w:t>
      </w:r>
      <w:r>
        <w:t>.</w:t>
      </w:r>
      <w:r w:rsidRPr="00690B5F">
        <w:t xml:space="preserve"> Lehner, U</w:t>
      </w:r>
      <w:r>
        <w:t>.</w:t>
      </w:r>
      <w:r w:rsidRPr="00690B5F">
        <w:t>C</w:t>
      </w:r>
      <w:r>
        <w:t>.</w:t>
      </w:r>
      <w:r w:rsidRPr="00690B5F">
        <w:t xml:space="preserve"> Fiebig, C</w:t>
      </w:r>
      <w:r>
        <w:t>.</w:t>
      </w:r>
      <w:r w:rsidRPr="00690B5F">
        <w:t xml:space="preserve"> Gentner</w:t>
      </w:r>
      <w:r>
        <w:t>, “Physical-statistical channel model for joint GNSS and mobile radio based positioning,” Proc. ION GNSS, Sep. 2012.</w:t>
      </w:r>
      <w:bookmarkEnd w:id="16"/>
      <w:r>
        <w:t xml:space="preserve"> </w:t>
      </w:r>
    </w:p>
    <w:sectPr w:rsidR="00A12048" w:rsidRPr="005D20F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96E" w:rsidRDefault="006C296E">
      <w:r>
        <w:separator/>
      </w:r>
    </w:p>
  </w:endnote>
  <w:endnote w:type="continuationSeparator" w:id="0">
    <w:p w:rsidR="006C296E" w:rsidRDefault="006C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96E" w:rsidRDefault="006C296E">
      <w:r>
        <w:separator/>
      </w:r>
    </w:p>
  </w:footnote>
  <w:footnote w:type="continuationSeparator" w:id="0">
    <w:p w:rsidR="006C296E" w:rsidRDefault="006C2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15C"/>
    <w:multiLevelType w:val="hybridMultilevel"/>
    <w:tmpl w:val="56069C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70F0C2B"/>
    <w:multiLevelType w:val="hybridMultilevel"/>
    <w:tmpl w:val="11E4B62E"/>
    <w:lvl w:ilvl="0" w:tplc="1E0C196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D18E6"/>
    <w:multiLevelType w:val="hybridMultilevel"/>
    <w:tmpl w:val="C24ED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E4F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EE303A"/>
    <w:multiLevelType w:val="hybridMultilevel"/>
    <w:tmpl w:val="DCA417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5279C9"/>
    <w:multiLevelType w:val="hybridMultilevel"/>
    <w:tmpl w:val="BB46D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BD4332"/>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1A7158"/>
    <w:multiLevelType w:val="hybridMultilevel"/>
    <w:tmpl w:val="1D9C2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D3909"/>
    <w:multiLevelType w:val="hybridMultilevel"/>
    <w:tmpl w:val="99C254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004FD8"/>
    <w:multiLevelType w:val="hybridMultilevel"/>
    <w:tmpl w:val="F4CCB802"/>
    <w:lvl w:ilvl="0" w:tplc="3356B834">
      <w:start w:val="2"/>
      <w:numFmt w:val="bullet"/>
      <w:lvlText w:val="–"/>
      <w:lvlJc w:val="left"/>
      <w:pPr>
        <w:tabs>
          <w:tab w:val="num" w:pos="720"/>
        </w:tabs>
        <w:ind w:left="720" w:hanging="360"/>
      </w:pPr>
      <w:rPr>
        <w:rFonts w:ascii="Arial" w:eastAsia="Times New Roman" w:hAnsi="Arial" w:cs="Arial" w:hint="default"/>
      </w:rPr>
    </w:lvl>
    <w:lvl w:ilvl="1" w:tplc="8BB62970">
      <w:start w:val="24"/>
      <w:numFmt w:val="bullet"/>
      <w:lvlText w:val="–"/>
      <w:lvlJc w:val="left"/>
      <w:pPr>
        <w:tabs>
          <w:tab w:val="num" w:pos="1440"/>
        </w:tabs>
        <w:ind w:left="1440" w:hanging="360"/>
      </w:pPr>
      <w:rPr>
        <w:rFonts w:ascii="Arial" w:hAnsi="Arial" w:hint="default"/>
      </w:rPr>
    </w:lvl>
    <w:lvl w:ilvl="2" w:tplc="053E9E1A">
      <w:start w:val="24"/>
      <w:numFmt w:val="bullet"/>
      <w:lvlText w:val="•"/>
      <w:lvlJc w:val="left"/>
      <w:pPr>
        <w:tabs>
          <w:tab w:val="num" w:pos="2160"/>
        </w:tabs>
        <w:ind w:left="2160" w:hanging="360"/>
      </w:pPr>
      <w:rPr>
        <w:rFonts w:ascii="Arial" w:hAnsi="Arial" w:hint="default"/>
      </w:rPr>
    </w:lvl>
    <w:lvl w:ilvl="3" w:tplc="EF48333E" w:tentative="1">
      <w:start w:val="1"/>
      <w:numFmt w:val="bullet"/>
      <w:lvlText w:val="•"/>
      <w:lvlJc w:val="left"/>
      <w:pPr>
        <w:tabs>
          <w:tab w:val="num" w:pos="2880"/>
        </w:tabs>
        <w:ind w:left="2880" w:hanging="360"/>
      </w:pPr>
      <w:rPr>
        <w:rFonts w:ascii="Arial" w:hAnsi="Arial" w:hint="default"/>
      </w:rPr>
    </w:lvl>
    <w:lvl w:ilvl="4" w:tplc="17FC9AF6" w:tentative="1">
      <w:start w:val="1"/>
      <w:numFmt w:val="bullet"/>
      <w:lvlText w:val="•"/>
      <w:lvlJc w:val="left"/>
      <w:pPr>
        <w:tabs>
          <w:tab w:val="num" w:pos="3600"/>
        </w:tabs>
        <w:ind w:left="3600" w:hanging="360"/>
      </w:pPr>
      <w:rPr>
        <w:rFonts w:ascii="Arial" w:hAnsi="Arial" w:hint="default"/>
      </w:rPr>
    </w:lvl>
    <w:lvl w:ilvl="5" w:tplc="7C22C2D2" w:tentative="1">
      <w:start w:val="1"/>
      <w:numFmt w:val="bullet"/>
      <w:lvlText w:val="•"/>
      <w:lvlJc w:val="left"/>
      <w:pPr>
        <w:tabs>
          <w:tab w:val="num" w:pos="4320"/>
        </w:tabs>
        <w:ind w:left="4320" w:hanging="360"/>
      </w:pPr>
      <w:rPr>
        <w:rFonts w:ascii="Arial" w:hAnsi="Arial" w:hint="default"/>
      </w:rPr>
    </w:lvl>
    <w:lvl w:ilvl="6" w:tplc="A4D4F7FC" w:tentative="1">
      <w:start w:val="1"/>
      <w:numFmt w:val="bullet"/>
      <w:lvlText w:val="•"/>
      <w:lvlJc w:val="left"/>
      <w:pPr>
        <w:tabs>
          <w:tab w:val="num" w:pos="5040"/>
        </w:tabs>
        <w:ind w:left="5040" w:hanging="360"/>
      </w:pPr>
      <w:rPr>
        <w:rFonts w:ascii="Arial" w:hAnsi="Arial" w:hint="default"/>
      </w:rPr>
    </w:lvl>
    <w:lvl w:ilvl="7" w:tplc="429857F2" w:tentative="1">
      <w:start w:val="1"/>
      <w:numFmt w:val="bullet"/>
      <w:lvlText w:val="•"/>
      <w:lvlJc w:val="left"/>
      <w:pPr>
        <w:tabs>
          <w:tab w:val="num" w:pos="5760"/>
        </w:tabs>
        <w:ind w:left="5760" w:hanging="360"/>
      </w:pPr>
      <w:rPr>
        <w:rFonts w:ascii="Arial" w:hAnsi="Arial" w:hint="default"/>
      </w:rPr>
    </w:lvl>
    <w:lvl w:ilvl="8" w:tplc="54BC121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7378A8"/>
    <w:multiLevelType w:val="hybridMultilevel"/>
    <w:tmpl w:val="041E3E86"/>
    <w:lvl w:ilvl="0" w:tplc="E9B6A278">
      <w:start w:val="1"/>
      <w:numFmt w:val="decimal"/>
      <w:lvlText w:val="[%1]"/>
      <w:lvlJc w:val="left"/>
      <w:pPr>
        <w:ind w:left="426" w:hanging="360"/>
      </w:pPr>
      <w:rPr>
        <w:rFonts w:hint="default"/>
        <w:b w:val="0"/>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12" w15:restartNumberingAfterBreak="0">
    <w:nsid w:val="20C54B6E"/>
    <w:multiLevelType w:val="hybridMultilevel"/>
    <w:tmpl w:val="0B700750"/>
    <w:lvl w:ilvl="0" w:tplc="3356B83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01776"/>
    <w:multiLevelType w:val="hybridMultilevel"/>
    <w:tmpl w:val="50F676F4"/>
    <w:lvl w:ilvl="0" w:tplc="73CE46D2">
      <w:start w:val="2"/>
      <w:numFmt w:val="bullet"/>
      <w:lvlText w:val=""/>
      <w:lvlJc w:val="left"/>
      <w:pPr>
        <w:ind w:left="360" w:hanging="360"/>
      </w:pPr>
      <w:rPr>
        <w:rFonts w:ascii="Symbol" w:eastAsia="Times New Roman" w:hAnsi="Symbo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197756"/>
    <w:multiLevelType w:val="multilevel"/>
    <w:tmpl w:val="7A906378"/>
    <w:numStyleLink w:val="3GPPListofBullets"/>
  </w:abstractNum>
  <w:abstractNum w:abstractNumId="15" w15:restartNumberingAfterBreak="0">
    <w:nsid w:val="2BCB56A4"/>
    <w:multiLevelType w:val="hybridMultilevel"/>
    <w:tmpl w:val="89249A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082521"/>
    <w:multiLevelType w:val="hybridMultilevel"/>
    <w:tmpl w:val="A4E22570"/>
    <w:lvl w:ilvl="0" w:tplc="03FA0EA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8" w15:restartNumberingAfterBreak="0">
    <w:nsid w:val="312D59D3"/>
    <w:multiLevelType w:val="hybridMultilevel"/>
    <w:tmpl w:val="8E12E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407DFA"/>
    <w:multiLevelType w:val="hybridMultilevel"/>
    <w:tmpl w:val="F8B8600E"/>
    <w:lvl w:ilvl="0" w:tplc="E192408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AA01B1"/>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37717A"/>
    <w:multiLevelType w:val="hybridMultilevel"/>
    <w:tmpl w:val="41803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D035A9"/>
    <w:multiLevelType w:val="hybridMultilevel"/>
    <w:tmpl w:val="CAD0350E"/>
    <w:lvl w:ilvl="0" w:tplc="C3066636">
      <w:start w:val="1"/>
      <w:numFmt w:val="bullet"/>
      <w:lvlText w:val="•"/>
      <w:lvlJc w:val="left"/>
      <w:pPr>
        <w:tabs>
          <w:tab w:val="num" w:pos="720"/>
        </w:tabs>
        <w:ind w:left="720" w:hanging="360"/>
      </w:pPr>
      <w:rPr>
        <w:rFonts w:ascii="Arial" w:hAnsi="Arial" w:hint="default"/>
      </w:rPr>
    </w:lvl>
    <w:lvl w:ilvl="1" w:tplc="B9C2DDDE">
      <w:start w:val="24"/>
      <w:numFmt w:val="bullet"/>
      <w:lvlText w:val="–"/>
      <w:lvlJc w:val="left"/>
      <w:pPr>
        <w:tabs>
          <w:tab w:val="num" w:pos="1440"/>
        </w:tabs>
        <w:ind w:left="1440" w:hanging="360"/>
      </w:pPr>
      <w:rPr>
        <w:rFonts w:ascii="Arial" w:hAnsi="Arial" w:hint="default"/>
      </w:rPr>
    </w:lvl>
    <w:lvl w:ilvl="2" w:tplc="41A6DACA" w:tentative="1">
      <w:start w:val="1"/>
      <w:numFmt w:val="bullet"/>
      <w:lvlText w:val="•"/>
      <w:lvlJc w:val="left"/>
      <w:pPr>
        <w:tabs>
          <w:tab w:val="num" w:pos="2160"/>
        </w:tabs>
        <w:ind w:left="2160" w:hanging="360"/>
      </w:pPr>
      <w:rPr>
        <w:rFonts w:ascii="Arial" w:hAnsi="Arial" w:hint="default"/>
      </w:rPr>
    </w:lvl>
    <w:lvl w:ilvl="3" w:tplc="FF003BCE" w:tentative="1">
      <w:start w:val="1"/>
      <w:numFmt w:val="bullet"/>
      <w:lvlText w:val="•"/>
      <w:lvlJc w:val="left"/>
      <w:pPr>
        <w:tabs>
          <w:tab w:val="num" w:pos="2880"/>
        </w:tabs>
        <w:ind w:left="2880" w:hanging="360"/>
      </w:pPr>
      <w:rPr>
        <w:rFonts w:ascii="Arial" w:hAnsi="Arial" w:hint="default"/>
      </w:rPr>
    </w:lvl>
    <w:lvl w:ilvl="4" w:tplc="E278AC7C" w:tentative="1">
      <w:start w:val="1"/>
      <w:numFmt w:val="bullet"/>
      <w:lvlText w:val="•"/>
      <w:lvlJc w:val="left"/>
      <w:pPr>
        <w:tabs>
          <w:tab w:val="num" w:pos="3600"/>
        </w:tabs>
        <w:ind w:left="3600" w:hanging="360"/>
      </w:pPr>
      <w:rPr>
        <w:rFonts w:ascii="Arial" w:hAnsi="Arial" w:hint="default"/>
      </w:rPr>
    </w:lvl>
    <w:lvl w:ilvl="5" w:tplc="B1F21232" w:tentative="1">
      <w:start w:val="1"/>
      <w:numFmt w:val="bullet"/>
      <w:lvlText w:val="•"/>
      <w:lvlJc w:val="left"/>
      <w:pPr>
        <w:tabs>
          <w:tab w:val="num" w:pos="4320"/>
        </w:tabs>
        <w:ind w:left="4320" w:hanging="360"/>
      </w:pPr>
      <w:rPr>
        <w:rFonts w:ascii="Arial" w:hAnsi="Arial" w:hint="default"/>
      </w:rPr>
    </w:lvl>
    <w:lvl w:ilvl="6" w:tplc="69A8D584" w:tentative="1">
      <w:start w:val="1"/>
      <w:numFmt w:val="bullet"/>
      <w:lvlText w:val="•"/>
      <w:lvlJc w:val="left"/>
      <w:pPr>
        <w:tabs>
          <w:tab w:val="num" w:pos="5040"/>
        </w:tabs>
        <w:ind w:left="5040" w:hanging="360"/>
      </w:pPr>
      <w:rPr>
        <w:rFonts w:ascii="Arial" w:hAnsi="Arial" w:hint="default"/>
      </w:rPr>
    </w:lvl>
    <w:lvl w:ilvl="7" w:tplc="CDD4E820" w:tentative="1">
      <w:start w:val="1"/>
      <w:numFmt w:val="bullet"/>
      <w:lvlText w:val="•"/>
      <w:lvlJc w:val="left"/>
      <w:pPr>
        <w:tabs>
          <w:tab w:val="num" w:pos="5760"/>
        </w:tabs>
        <w:ind w:left="5760" w:hanging="360"/>
      </w:pPr>
      <w:rPr>
        <w:rFonts w:ascii="Arial" w:hAnsi="Arial" w:hint="default"/>
      </w:rPr>
    </w:lvl>
    <w:lvl w:ilvl="8" w:tplc="C5A872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4A807DF"/>
    <w:multiLevelType w:val="hybridMultilevel"/>
    <w:tmpl w:val="52EA3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CA712CB"/>
    <w:multiLevelType w:val="hybridMultilevel"/>
    <w:tmpl w:val="41ACE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3124EA"/>
    <w:multiLevelType w:val="hybridMultilevel"/>
    <w:tmpl w:val="2ACEA6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2433A7E"/>
    <w:multiLevelType w:val="hybridMultilevel"/>
    <w:tmpl w:val="2ACEA6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9"/>
  </w:num>
  <w:num w:numId="2">
    <w:abstractNumId w:val="27"/>
  </w:num>
  <w:num w:numId="3">
    <w:abstractNumId w:val="22"/>
  </w:num>
  <w:num w:numId="4">
    <w:abstractNumId w:val="10"/>
  </w:num>
  <w:num w:numId="5">
    <w:abstractNumId w:val="15"/>
  </w:num>
  <w:num w:numId="6">
    <w:abstractNumId w:val="4"/>
  </w:num>
  <w:num w:numId="7">
    <w:abstractNumId w:val="6"/>
  </w:num>
  <w:num w:numId="8">
    <w:abstractNumId w:val="3"/>
  </w:num>
  <w:num w:numId="9">
    <w:abstractNumId w:val="24"/>
  </w:num>
  <w:num w:numId="10">
    <w:abstractNumId w:val="12"/>
  </w:num>
  <w:num w:numId="11">
    <w:abstractNumId w:val="13"/>
  </w:num>
  <w:num w:numId="12">
    <w:abstractNumId w:val="1"/>
  </w:num>
  <w:num w:numId="13">
    <w:abstractNumId w:val="23"/>
  </w:num>
  <w:num w:numId="14">
    <w:abstractNumId w:val="9"/>
  </w:num>
  <w:num w:numId="15">
    <w:abstractNumId w:val="26"/>
  </w:num>
  <w:num w:numId="16">
    <w:abstractNumId w:val="16"/>
  </w:num>
  <w:num w:numId="17">
    <w:abstractNumId w:val="32"/>
  </w:num>
  <w:num w:numId="18">
    <w:abstractNumId w:val="31"/>
  </w:num>
  <w:num w:numId="19">
    <w:abstractNumId w:val="11"/>
  </w:num>
  <w:num w:numId="20">
    <w:abstractNumId w:val="25"/>
  </w:num>
  <w:num w:numId="21">
    <w:abstractNumId w:val="28"/>
  </w:num>
  <w:num w:numId="22">
    <w:abstractNumId w:val="0"/>
  </w:num>
  <w:num w:numId="23">
    <w:abstractNumId w:val="30"/>
  </w:num>
  <w:num w:numId="24">
    <w:abstractNumId w:val="19"/>
  </w:num>
  <w:num w:numId="25">
    <w:abstractNumId w:val="8"/>
  </w:num>
  <w:num w:numId="26">
    <w:abstractNumId w:val="7"/>
  </w:num>
  <w:num w:numId="27">
    <w:abstractNumId w:val="2"/>
  </w:num>
  <w:num w:numId="28">
    <w:abstractNumId w:val="5"/>
  </w:num>
  <w:num w:numId="29">
    <w:abstractNumId w:val="18"/>
  </w:num>
  <w:num w:numId="3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2451D"/>
    <w:rsid w:val="0003023D"/>
    <w:rsid w:val="0003484B"/>
    <w:rsid w:val="000478BA"/>
    <w:rsid w:val="0005073B"/>
    <w:rsid w:val="00091E22"/>
    <w:rsid w:val="000A5A2E"/>
    <w:rsid w:val="000E2F55"/>
    <w:rsid w:val="000E7A46"/>
    <w:rsid w:val="00106B73"/>
    <w:rsid w:val="001237AA"/>
    <w:rsid w:val="001325F6"/>
    <w:rsid w:val="00142E07"/>
    <w:rsid w:val="00146741"/>
    <w:rsid w:val="00147FDB"/>
    <w:rsid w:val="001512CF"/>
    <w:rsid w:val="0015166D"/>
    <w:rsid w:val="00152077"/>
    <w:rsid w:val="00170DE4"/>
    <w:rsid w:val="00181463"/>
    <w:rsid w:val="0018529F"/>
    <w:rsid w:val="001A0812"/>
    <w:rsid w:val="001A2E23"/>
    <w:rsid w:val="001C2022"/>
    <w:rsid w:val="002023A0"/>
    <w:rsid w:val="0021334C"/>
    <w:rsid w:val="00261606"/>
    <w:rsid w:val="002819F3"/>
    <w:rsid w:val="00285E1E"/>
    <w:rsid w:val="002A21A4"/>
    <w:rsid w:val="002A2C6B"/>
    <w:rsid w:val="002F4243"/>
    <w:rsid w:val="002F52CA"/>
    <w:rsid w:val="002F79D8"/>
    <w:rsid w:val="00313607"/>
    <w:rsid w:val="0032718B"/>
    <w:rsid w:val="00352E3C"/>
    <w:rsid w:val="003557C7"/>
    <w:rsid w:val="003B7F92"/>
    <w:rsid w:val="003C0D61"/>
    <w:rsid w:val="003E64EB"/>
    <w:rsid w:val="00435F67"/>
    <w:rsid w:val="00451F31"/>
    <w:rsid w:val="004554CD"/>
    <w:rsid w:val="004607C3"/>
    <w:rsid w:val="00470C72"/>
    <w:rsid w:val="00496079"/>
    <w:rsid w:val="004A32EF"/>
    <w:rsid w:val="004D1F52"/>
    <w:rsid w:val="0050524D"/>
    <w:rsid w:val="0051203B"/>
    <w:rsid w:val="005264D0"/>
    <w:rsid w:val="005747A9"/>
    <w:rsid w:val="00581D7B"/>
    <w:rsid w:val="00587C39"/>
    <w:rsid w:val="005919FB"/>
    <w:rsid w:val="005968C1"/>
    <w:rsid w:val="005A2736"/>
    <w:rsid w:val="005B4656"/>
    <w:rsid w:val="005D20F1"/>
    <w:rsid w:val="005D31DB"/>
    <w:rsid w:val="005E69B7"/>
    <w:rsid w:val="005F442D"/>
    <w:rsid w:val="00625E69"/>
    <w:rsid w:val="00632A02"/>
    <w:rsid w:val="00632D85"/>
    <w:rsid w:val="00652670"/>
    <w:rsid w:val="00662582"/>
    <w:rsid w:val="0067040A"/>
    <w:rsid w:val="00690B5F"/>
    <w:rsid w:val="00690EF4"/>
    <w:rsid w:val="006A34DE"/>
    <w:rsid w:val="006C296E"/>
    <w:rsid w:val="006C6596"/>
    <w:rsid w:val="006D1177"/>
    <w:rsid w:val="006D57AC"/>
    <w:rsid w:val="00724226"/>
    <w:rsid w:val="00752841"/>
    <w:rsid w:val="00756B31"/>
    <w:rsid w:val="007748CF"/>
    <w:rsid w:val="007907C7"/>
    <w:rsid w:val="00790D7E"/>
    <w:rsid w:val="007A5B02"/>
    <w:rsid w:val="007A62DB"/>
    <w:rsid w:val="007C36E8"/>
    <w:rsid w:val="007C5D77"/>
    <w:rsid w:val="007D716C"/>
    <w:rsid w:val="007E07F3"/>
    <w:rsid w:val="007F2F6E"/>
    <w:rsid w:val="007F5F26"/>
    <w:rsid w:val="00842D85"/>
    <w:rsid w:val="00857A79"/>
    <w:rsid w:val="00885148"/>
    <w:rsid w:val="008938FF"/>
    <w:rsid w:val="0089692E"/>
    <w:rsid w:val="008B7268"/>
    <w:rsid w:val="008C6654"/>
    <w:rsid w:val="009100F6"/>
    <w:rsid w:val="009140D2"/>
    <w:rsid w:val="00930592"/>
    <w:rsid w:val="00941897"/>
    <w:rsid w:val="00954ED7"/>
    <w:rsid w:val="0095645F"/>
    <w:rsid w:val="009768FE"/>
    <w:rsid w:val="00993FE9"/>
    <w:rsid w:val="009B6C31"/>
    <w:rsid w:val="009C66AA"/>
    <w:rsid w:val="009D044A"/>
    <w:rsid w:val="00A12048"/>
    <w:rsid w:val="00A1642C"/>
    <w:rsid w:val="00A361F7"/>
    <w:rsid w:val="00A5349A"/>
    <w:rsid w:val="00A60040"/>
    <w:rsid w:val="00A61E16"/>
    <w:rsid w:val="00A7250D"/>
    <w:rsid w:val="00A82F5E"/>
    <w:rsid w:val="00AA7D01"/>
    <w:rsid w:val="00AD412C"/>
    <w:rsid w:val="00AE1CBF"/>
    <w:rsid w:val="00AE5937"/>
    <w:rsid w:val="00B27D3D"/>
    <w:rsid w:val="00B338BE"/>
    <w:rsid w:val="00B62D27"/>
    <w:rsid w:val="00B676D5"/>
    <w:rsid w:val="00B70095"/>
    <w:rsid w:val="00B81D83"/>
    <w:rsid w:val="00B87CE5"/>
    <w:rsid w:val="00BA142A"/>
    <w:rsid w:val="00BA3A70"/>
    <w:rsid w:val="00BB18DA"/>
    <w:rsid w:val="00BB44DC"/>
    <w:rsid w:val="00BE46F4"/>
    <w:rsid w:val="00BE4C30"/>
    <w:rsid w:val="00BF7371"/>
    <w:rsid w:val="00C0797A"/>
    <w:rsid w:val="00C2484D"/>
    <w:rsid w:val="00C42684"/>
    <w:rsid w:val="00C55D10"/>
    <w:rsid w:val="00C57DBE"/>
    <w:rsid w:val="00C80ACB"/>
    <w:rsid w:val="00C8529A"/>
    <w:rsid w:val="00C90B90"/>
    <w:rsid w:val="00CC0CE2"/>
    <w:rsid w:val="00CE584E"/>
    <w:rsid w:val="00D230E2"/>
    <w:rsid w:val="00D5794C"/>
    <w:rsid w:val="00D672AA"/>
    <w:rsid w:val="00D77571"/>
    <w:rsid w:val="00D80724"/>
    <w:rsid w:val="00D91408"/>
    <w:rsid w:val="00D93E62"/>
    <w:rsid w:val="00DC3744"/>
    <w:rsid w:val="00DD6132"/>
    <w:rsid w:val="00E10DF1"/>
    <w:rsid w:val="00E401B9"/>
    <w:rsid w:val="00E64E81"/>
    <w:rsid w:val="00E82683"/>
    <w:rsid w:val="00EC0AA8"/>
    <w:rsid w:val="00F23B49"/>
    <w:rsid w:val="00F32698"/>
    <w:rsid w:val="00F719B1"/>
    <w:rsid w:val="00F9221E"/>
    <w:rsid w:val="00FC6334"/>
    <w:rsid w:val="00FD36BD"/>
    <w:rsid w:val="00FF1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07F9C"/>
  <w15:chartTrackingRefBased/>
  <w15:docId w15:val="{2C73B02D-3937-4027-B10A-B62BE9014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99"/>
    <w:rsid w:val="00034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E5937"/>
    <w:rPr>
      <w:b/>
      <w:bCs/>
    </w:rPr>
  </w:style>
  <w:style w:type="character" w:customStyle="1" w:styleId="ListParagraphChar">
    <w:name w:val="List Paragraph Char"/>
    <w:aliases w:val="- Bullets Char,목록 단락 Char,リスト段落 Char,?? ?? Char,????? Char,???? Char,Lista1 Char,列出段落 Char,列出段落1 Char"/>
    <w:link w:val="ListParagraph"/>
    <w:uiPriority w:val="34"/>
    <w:qFormat/>
    <w:locked/>
    <w:rsid w:val="002A21A4"/>
    <w:rPr>
      <w:rFonts w:ascii="Times" w:hAnsi="Times" w:cs="Times"/>
      <w:szCs w:val="24"/>
      <w:lang w:eastAsia="x-none"/>
    </w:rPr>
  </w:style>
  <w:style w:type="paragraph" w:styleId="ListParagraph">
    <w:name w:val="List Paragraph"/>
    <w:aliases w:val="- Bullets,목록 단락,リスト段落,?? ??,?????,????,Lista1,列出段落,列出段落1"/>
    <w:basedOn w:val="Normal"/>
    <w:link w:val="ListParagraphChar"/>
    <w:uiPriority w:val="34"/>
    <w:qFormat/>
    <w:rsid w:val="002A21A4"/>
    <w:pPr>
      <w:ind w:leftChars="400" w:left="840" w:hanging="720"/>
    </w:pPr>
    <w:rPr>
      <w:rFonts w:ascii="Times" w:hAnsi="Times" w:cs="Times"/>
      <w:szCs w:val="24"/>
      <w:lang w:eastAsia="x-none"/>
    </w:rPr>
  </w:style>
  <w:style w:type="paragraph" w:customStyle="1" w:styleId="UOCnormal">
    <w:name w:val="UOC_normal"/>
    <w:basedOn w:val="Normal"/>
    <w:link w:val="UOCnormalCar"/>
    <w:uiPriority w:val="99"/>
    <w:rsid w:val="004554CD"/>
    <w:pPr>
      <w:spacing w:before="80" w:after="80" w:line="276" w:lineRule="auto"/>
    </w:pPr>
    <w:rPr>
      <w:rFonts w:ascii="Arial" w:eastAsia="Calibri" w:hAnsi="Arial"/>
      <w:color w:val="757578"/>
      <w:sz w:val="22"/>
      <w:szCs w:val="24"/>
      <w:lang w:val="es-ES"/>
    </w:rPr>
  </w:style>
  <w:style w:type="character" w:customStyle="1" w:styleId="UOCnormalCar">
    <w:name w:val="UOC_normal Car"/>
    <w:link w:val="UOCnormal"/>
    <w:uiPriority w:val="99"/>
    <w:locked/>
    <w:rsid w:val="004554CD"/>
    <w:rPr>
      <w:rFonts w:ascii="Arial" w:eastAsia="Calibri" w:hAnsi="Arial"/>
      <w:color w:val="757578"/>
      <w:sz w:val="22"/>
      <w:szCs w:val="24"/>
      <w:lang w:val="es-ES" w:eastAsia="en-US"/>
    </w:rPr>
  </w:style>
  <w:style w:type="character" w:styleId="PlaceholderText">
    <w:name w:val="Placeholder Text"/>
    <w:basedOn w:val="DefaultParagraphFont"/>
    <w:uiPriority w:val="99"/>
    <w:semiHidden/>
    <w:rsid w:val="00581D7B"/>
    <w:rPr>
      <w:color w:val="808080"/>
    </w:rPr>
  </w:style>
  <w:style w:type="character" w:customStyle="1" w:styleId="3GPPTextChar">
    <w:name w:val="3GPP Text Char"/>
    <w:link w:val="3GPPText"/>
    <w:locked/>
    <w:rsid w:val="00C57DBE"/>
    <w:rPr>
      <w:rFonts w:asciiTheme="minorHAnsi" w:eastAsiaTheme="minorHAnsi" w:hAnsiTheme="minorHAnsi" w:cstheme="minorBidi"/>
      <w:sz w:val="22"/>
      <w:szCs w:val="22"/>
    </w:rPr>
  </w:style>
  <w:style w:type="paragraph" w:customStyle="1" w:styleId="3GPPText">
    <w:name w:val="3GPP Text"/>
    <w:basedOn w:val="Normal"/>
    <w:link w:val="3GPPTextChar"/>
    <w:qFormat/>
    <w:rsid w:val="00C57DBE"/>
    <w:pPr>
      <w:spacing w:before="120" w:after="160" w:line="256" w:lineRule="auto"/>
      <w:jc w:val="both"/>
    </w:pPr>
    <w:rPr>
      <w:rFonts w:asciiTheme="minorHAnsi" w:eastAsiaTheme="minorHAnsi" w:hAnsiTheme="minorHAnsi" w:cstheme="minorBidi"/>
      <w:sz w:val="22"/>
      <w:szCs w:val="22"/>
      <w:lang w:eastAsia="en-GB"/>
    </w:rPr>
  </w:style>
  <w:style w:type="character" w:customStyle="1" w:styleId="3GPPAgreementsChar">
    <w:name w:val="3GPP Agreements Char"/>
    <w:link w:val="3GPPAgreements"/>
    <w:locked/>
    <w:rsid w:val="00C57DB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57DBE"/>
    <w:pPr>
      <w:numPr>
        <w:numId w:val="30"/>
      </w:numPr>
      <w:spacing w:before="60" w:after="60" w:line="256" w:lineRule="auto"/>
      <w:jc w:val="both"/>
    </w:pPr>
    <w:rPr>
      <w:rFonts w:asciiTheme="minorHAnsi" w:eastAsiaTheme="minorHAnsi" w:hAnsiTheme="minorHAnsi" w:cstheme="minorBidi"/>
      <w:sz w:val="22"/>
      <w:szCs w:val="22"/>
      <w:lang w:eastAsia="zh-CN"/>
    </w:rPr>
  </w:style>
  <w:style w:type="numbering" w:customStyle="1" w:styleId="3GPPListofBullets">
    <w:name w:val="3GPP List of Bullets"/>
    <w:rsid w:val="00C57DBE"/>
    <w:pPr>
      <w:numPr>
        <w:numId w:val="32"/>
      </w:numPr>
    </w:pPr>
  </w:style>
  <w:style w:type="paragraph" w:customStyle="1" w:styleId="Proposal">
    <w:name w:val="Proposal"/>
    <w:basedOn w:val="BodyText"/>
    <w:rsid w:val="00AA7D01"/>
    <w:pPr>
      <w:numPr>
        <w:numId w:val="33"/>
      </w:numPr>
      <w:tabs>
        <w:tab w:val="left" w:pos="1701"/>
      </w:tabs>
      <w:spacing w:after="120" w:line="259" w:lineRule="auto"/>
      <w:jc w:val="both"/>
    </w:pPr>
    <w:rPr>
      <w:rFonts w:asciiTheme="minorHAnsi" w:eastAsiaTheme="minorHAnsi" w:hAnsiTheme="minorHAnsi" w:cstheme="minorBidi"/>
      <w:b/>
      <w:bCs/>
      <w:color w:val="auto"/>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30921">
      <w:bodyDiv w:val="1"/>
      <w:marLeft w:val="0"/>
      <w:marRight w:val="0"/>
      <w:marTop w:val="0"/>
      <w:marBottom w:val="0"/>
      <w:divBdr>
        <w:top w:val="none" w:sz="0" w:space="0" w:color="auto"/>
        <w:left w:val="none" w:sz="0" w:space="0" w:color="auto"/>
        <w:bottom w:val="none" w:sz="0" w:space="0" w:color="auto"/>
        <w:right w:val="none" w:sz="0" w:space="0" w:color="auto"/>
      </w:divBdr>
    </w:div>
    <w:div w:id="194118504">
      <w:bodyDiv w:val="1"/>
      <w:marLeft w:val="0"/>
      <w:marRight w:val="0"/>
      <w:marTop w:val="0"/>
      <w:marBottom w:val="0"/>
      <w:divBdr>
        <w:top w:val="none" w:sz="0" w:space="0" w:color="auto"/>
        <w:left w:val="none" w:sz="0" w:space="0" w:color="auto"/>
        <w:bottom w:val="none" w:sz="0" w:space="0" w:color="auto"/>
        <w:right w:val="none" w:sz="0" w:space="0" w:color="auto"/>
      </w:divBdr>
    </w:div>
    <w:div w:id="199636518">
      <w:bodyDiv w:val="1"/>
      <w:marLeft w:val="0"/>
      <w:marRight w:val="0"/>
      <w:marTop w:val="0"/>
      <w:marBottom w:val="0"/>
      <w:divBdr>
        <w:top w:val="none" w:sz="0" w:space="0" w:color="auto"/>
        <w:left w:val="none" w:sz="0" w:space="0" w:color="auto"/>
        <w:bottom w:val="none" w:sz="0" w:space="0" w:color="auto"/>
        <w:right w:val="none" w:sz="0" w:space="0" w:color="auto"/>
      </w:divBdr>
    </w:div>
    <w:div w:id="245457723">
      <w:bodyDiv w:val="1"/>
      <w:marLeft w:val="0"/>
      <w:marRight w:val="0"/>
      <w:marTop w:val="0"/>
      <w:marBottom w:val="0"/>
      <w:divBdr>
        <w:top w:val="none" w:sz="0" w:space="0" w:color="auto"/>
        <w:left w:val="none" w:sz="0" w:space="0" w:color="auto"/>
        <w:bottom w:val="none" w:sz="0" w:space="0" w:color="auto"/>
        <w:right w:val="none" w:sz="0" w:space="0" w:color="auto"/>
      </w:divBdr>
    </w:div>
    <w:div w:id="282426307">
      <w:bodyDiv w:val="1"/>
      <w:marLeft w:val="0"/>
      <w:marRight w:val="0"/>
      <w:marTop w:val="0"/>
      <w:marBottom w:val="0"/>
      <w:divBdr>
        <w:top w:val="none" w:sz="0" w:space="0" w:color="auto"/>
        <w:left w:val="none" w:sz="0" w:space="0" w:color="auto"/>
        <w:bottom w:val="none" w:sz="0" w:space="0" w:color="auto"/>
        <w:right w:val="none" w:sz="0" w:space="0" w:color="auto"/>
      </w:divBdr>
    </w:div>
    <w:div w:id="550582709">
      <w:bodyDiv w:val="1"/>
      <w:marLeft w:val="0"/>
      <w:marRight w:val="0"/>
      <w:marTop w:val="0"/>
      <w:marBottom w:val="0"/>
      <w:divBdr>
        <w:top w:val="none" w:sz="0" w:space="0" w:color="auto"/>
        <w:left w:val="none" w:sz="0" w:space="0" w:color="auto"/>
        <w:bottom w:val="none" w:sz="0" w:space="0" w:color="auto"/>
        <w:right w:val="none" w:sz="0" w:space="0" w:color="auto"/>
      </w:divBdr>
    </w:div>
    <w:div w:id="559902965">
      <w:bodyDiv w:val="1"/>
      <w:marLeft w:val="0"/>
      <w:marRight w:val="0"/>
      <w:marTop w:val="0"/>
      <w:marBottom w:val="0"/>
      <w:divBdr>
        <w:top w:val="none" w:sz="0" w:space="0" w:color="auto"/>
        <w:left w:val="none" w:sz="0" w:space="0" w:color="auto"/>
        <w:bottom w:val="none" w:sz="0" w:space="0" w:color="auto"/>
        <w:right w:val="none" w:sz="0" w:space="0" w:color="auto"/>
      </w:divBdr>
      <w:divsChild>
        <w:div w:id="456340646">
          <w:marLeft w:val="1166"/>
          <w:marRight w:val="0"/>
          <w:marTop w:val="77"/>
          <w:marBottom w:val="0"/>
          <w:divBdr>
            <w:top w:val="none" w:sz="0" w:space="0" w:color="auto"/>
            <w:left w:val="none" w:sz="0" w:space="0" w:color="auto"/>
            <w:bottom w:val="none" w:sz="0" w:space="0" w:color="auto"/>
            <w:right w:val="none" w:sz="0" w:space="0" w:color="auto"/>
          </w:divBdr>
        </w:div>
        <w:div w:id="684208160">
          <w:marLeft w:val="1166"/>
          <w:marRight w:val="0"/>
          <w:marTop w:val="77"/>
          <w:marBottom w:val="0"/>
          <w:divBdr>
            <w:top w:val="none" w:sz="0" w:space="0" w:color="auto"/>
            <w:left w:val="none" w:sz="0" w:space="0" w:color="auto"/>
            <w:bottom w:val="none" w:sz="0" w:space="0" w:color="auto"/>
            <w:right w:val="none" w:sz="0" w:space="0" w:color="auto"/>
          </w:divBdr>
        </w:div>
        <w:div w:id="1480924261">
          <w:marLeft w:val="547"/>
          <w:marRight w:val="0"/>
          <w:marTop w:val="86"/>
          <w:marBottom w:val="0"/>
          <w:divBdr>
            <w:top w:val="none" w:sz="0" w:space="0" w:color="auto"/>
            <w:left w:val="none" w:sz="0" w:space="0" w:color="auto"/>
            <w:bottom w:val="none" w:sz="0" w:space="0" w:color="auto"/>
            <w:right w:val="none" w:sz="0" w:space="0" w:color="auto"/>
          </w:divBdr>
        </w:div>
        <w:div w:id="2098089463">
          <w:marLeft w:val="1166"/>
          <w:marRight w:val="0"/>
          <w:marTop w:val="77"/>
          <w:marBottom w:val="0"/>
          <w:divBdr>
            <w:top w:val="none" w:sz="0" w:space="0" w:color="auto"/>
            <w:left w:val="none" w:sz="0" w:space="0" w:color="auto"/>
            <w:bottom w:val="none" w:sz="0" w:space="0" w:color="auto"/>
            <w:right w:val="none" w:sz="0" w:space="0" w:color="auto"/>
          </w:divBdr>
        </w:div>
      </w:divsChild>
    </w:div>
    <w:div w:id="739324972">
      <w:bodyDiv w:val="1"/>
      <w:marLeft w:val="0"/>
      <w:marRight w:val="0"/>
      <w:marTop w:val="0"/>
      <w:marBottom w:val="0"/>
      <w:divBdr>
        <w:top w:val="none" w:sz="0" w:space="0" w:color="auto"/>
        <w:left w:val="none" w:sz="0" w:space="0" w:color="auto"/>
        <w:bottom w:val="none" w:sz="0" w:space="0" w:color="auto"/>
        <w:right w:val="none" w:sz="0" w:space="0" w:color="auto"/>
      </w:divBdr>
    </w:div>
    <w:div w:id="976882682">
      <w:bodyDiv w:val="1"/>
      <w:marLeft w:val="0"/>
      <w:marRight w:val="0"/>
      <w:marTop w:val="0"/>
      <w:marBottom w:val="0"/>
      <w:divBdr>
        <w:top w:val="none" w:sz="0" w:space="0" w:color="auto"/>
        <w:left w:val="none" w:sz="0" w:space="0" w:color="auto"/>
        <w:bottom w:val="none" w:sz="0" w:space="0" w:color="auto"/>
        <w:right w:val="none" w:sz="0" w:space="0" w:color="auto"/>
      </w:divBdr>
      <w:divsChild>
        <w:div w:id="274019219">
          <w:marLeft w:val="1166"/>
          <w:marRight w:val="0"/>
          <w:marTop w:val="77"/>
          <w:marBottom w:val="0"/>
          <w:divBdr>
            <w:top w:val="none" w:sz="0" w:space="0" w:color="auto"/>
            <w:left w:val="none" w:sz="0" w:space="0" w:color="auto"/>
            <w:bottom w:val="none" w:sz="0" w:space="0" w:color="auto"/>
            <w:right w:val="none" w:sz="0" w:space="0" w:color="auto"/>
          </w:divBdr>
        </w:div>
        <w:div w:id="1079792949">
          <w:marLeft w:val="547"/>
          <w:marRight w:val="0"/>
          <w:marTop w:val="86"/>
          <w:marBottom w:val="0"/>
          <w:divBdr>
            <w:top w:val="none" w:sz="0" w:space="0" w:color="auto"/>
            <w:left w:val="none" w:sz="0" w:space="0" w:color="auto"/>
            <w:bottom w:val="none" w:sz="0" w:space="0" w:color="auto"/>
            <w:right w:val="none" w:sz="0" w:space="0" w:color="auto"/>
          </w:divBdr>
        </w:div>
        <w:div w:id="1654094935">
          <w:marLeft w:val="1800"/>
          <w:marRight w:val="0"/>
          <w:marTop w:val="77"/>
          <w:marBottom w:val="0"/>
          <w:divBdr>
            <w:top w:val="none" w:sz="0" w:space="0" w:color="auto"/>
            <w:left w:val="none" w:sz="0" w:space="0" w:color="auto"/>
            <w:bottom w:val="none" w:sz="0" w:space="0" w:color="auto"/>
            <w:right w:val="none" w:sz="0" w:space="0" w:color="auto"/>
          </w:divBdr>
        </w:div>
        <w:div w:id="1715159450">
          <w:marLeft w:val="1800"/>
          <w:marRight w:val="0"/>
          <w:marTop w:val="77"/>
          <w:marBottom w:val="0"/>
          <w:divBdr>
            <w:top w:val="none" w:sz="0" w:space="0" w:color="auto"/>
            <w:left w:val="none" w:sz="0" w:space="0" w:color="auto"/>
            <w:bottom w:val="none" w:sz="0" w:space="0" w:color="auto"/>
            <w:right w:val="none" w:sz="0" w:space="0" w:color="auto"/>
          </w:divBdr>
        </w:div>
      </w:divsChild>
    </w:div>
    <w:div w:id="1215385049">
      <w:bodyDiv w:val="1"/>
      <w:marLeft w:val="0"/>
      <w:marRight w:val="0"/>
      <w:marTop w:val="0"/>
      <w:marBottom w:val="0"/>
      <w:divBdr>
        <w:top w:val="none" w:sz="0" w:space="0" w:color="auto"/>
        <w:left w:val="none" w:sz="0" w:space="0" w:color="auto"/>
        <w:bottom w:val="none" w:sz="0" w:space="0" w:color="auto"/>
        <w:right w:val="none" w:sz="0" w:space="0" w:color="auto"/>
      </w:divBdr>
    </w:div>
    <w:div w:id="1216938352">
      <w:bodyDiv w:val="1"/>
      <w:marLeft w:val="0"/>
      <w:marRight w:val="0"/>
      <w:marTop w:val="0"/>
      <w:marBottom w:val="0"/>
      <w:divBdr>
        <w:top w:val="none" w:sz="0" w:space="0" w:color="auto"/>
        <w:left w:val="none" w:sz="0" w:space="0" w:color="auto"/>
        <w:bottom w:val="none" w:sz="0" w:space="0" w:color="auto"/>
        <w:right w:val="none" w:sz="0" w:space="0" w:color="auto"/>
      </w:divBdr>
    </w:div>
    <w:div w:id="1479033829">
      <w:bodyDiv w:val="1"/>
      <w:marLeft w:val="0"/>
      <w:marRight w:val="0"/>
      <w:marTop w:val="0"/>
      <w:marBottom w:val="0"/>
      <w:divBdr>
        <w:top w:val="none" w:sz="0" w:space="0" w:color="auto"/>
        <w:left w:val="none" w:sz="0" w:space="0" w:color="auto"/>
        <w:bottom w:val="none" w:sz="0" w:space="0" w:color="auto"/>
        <w:right w:val="none" w:sz="0" w:space="0" w:color="auto"/>
      </w:divBdr>
    </w:div>
    <w:div w:id="1736392311">
      <w:bodyDiv w:val="1"/>
      <w:marLeft w:val="0"/>
      <w:marRight w:val="0"/>
      <w:marTop w:val="0"/>
      <w:marBottom w:val="0"/>
      <w:divBdr>
        <w:top w:val="none" w:sz="0" w:space="0" w:color="auto"/>
        <w:left w:val="none" w:sz="0" w:space="0" w:color="auto"/>
        <w:bottom w:val="none" w:sz="0" w:space="0" w:color="auto"/>
        <w:right w:val="none" w:sz="0" w:space="0" w:color="auto"/>
      </w:divBdr>
    </w:div>
    <w:div w:id="1902448382">
      <w:bodyDiv w:val="1"/>
      <w:marLeft w:val="0"/>
      <w:marRight w:val="0"/>
      <w:marTop w:val="0"/>
      <w:marBottom w:val="0"/>
      <w:divBdr>
        <w:top w:val="none" w:sz="0" w:space="0" w:color="auto"/>
        <w:left w:val="none" w:sz="0" w:space="0" w:color="auto"/>
        <w:bottom w:val="none" w:sz="0" w:space="0" w:color="auto"/>
        <w:right w:val="none" w:sz="0" w:space="0" w:color="auto"/>
      </w:divBdr>
    </w:div>
    <w:div w:id="199710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D7D53-FD4C-443B-953B-4508BFFF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3983</Words>
  <Characters>22705</Characters>
  <Application>Microsoft Office Word</Application>
  <DocSecurity>0</DocSecurity>
  <Lines>189</Lines>
  <Paragraphs>53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ETSI Sophia Antipolis</Company>
  <LinksUpToDate>false</LinksUpToDate>
  <CharactersWithSpaces>26635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Antonio del Peral Rosado</dc:creator>
  <cp:keywords/>
  <dc:description/>
  <cp:lastModifiedBy>Patrick Merias</cp:lastModifiedBy>
  <cp:revision>2</cp:revision>
  <cp:lastPrinted>2002-04-23T07:10:00Z</cp:lastPrinted>
  <dcterms:created xsi:type="dcterms:W3CDTF">2018-11-02T19:15:00Z</dcterms:created>
  <dcterms:modified xsi:type="dcterms:W3CDTF">2018-11-02T19:15:00Z</dcterms:modified>
</cp:coreProperties>
</file>